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548" w:rsidRPr="00FC6548" w:rsidRDefault="00FC6548" w:rsidP="00FC6548">
      <w:pPr>
        <w:spacing w:after="0" w:line="360" w:lineRule="auto"/>
        <w:jc w:val="both"/>
        <w:rPr>
          <w:rFonts w:ascii="Arial" w:eastAsia="Times New Roman" w:hAnsi="Arial" w:cs="Arial"/>
          <w:sz w:val="20"/>
          <w:szCs w:val="20"/>
          <w:lang w:eastAsia="es-ES"/>
        </w:rPr>
      </w:pPr>
      <w:r w:rsidRPr="00FC6548">
        <w:rPr>
          <w:rFonts w:ascii="Arial" w:eastAsia="Times New Roman" w:hAnsi="Arial" w:cs="Arial"/>
          <w:b/>
          <w:bCs/>
          <w:sz w:val="20"/>
          <w:szCs w:val="20"/>
          <w:lang w:eastAsia="es-ES"/>
        </w:rPr>
        <w:t>ACTA NÚMERO DIECISEIS. TERCERA SESION EXTRAORDINARIA DEL CONCEJO MUNICIPAL DE NEJAPA.</w:t>
      </w:r>
      <w:r w:rsidRPr="00FC6548">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con treinta minutos del día dieciséis de noviembre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y los regidores suplentes, señores: Milton Jhonatan Martinez Rodríguez, Juana Esmeralda Cruz de Sandoval, José Arami Paniagua Quijada, Delia Yanira Calderón Velásquez, así como el Gerente General, el Asesor Legal, el Jefe de UACI y la Suscrita Secretaria Municipal. ”””””””””””””””” </w:t>
      </w:r>
      <w:r w:rsidRPr="00FC6548">
        <w:rPr>
          <w:rFonts w:ascii="Arial" w:eastAsia="Times New Roman" w:hAnsi="Arial" w:cs="Arial"/>
          <w:b/>
          <w:bCs/>
          <w:sz w:val="20"/>
          <w:szCs w:val="20"/>
          <w:lang w:eastAsia="es-ES"/>
        </w:rPr>
        <w:t>DESARROLLO DE LA SESION.</w:t>
      </w:r>
      <w:r w:rsidRPr="00FC6548">
        <w:rPr>
          <w:rFonts w:ascii="Arial" w:eastAsia="Times New Roman" w:hAnsi="Arial" w:cs="Arial"/>
          <w:sz w:val="20"/>
          <w:szCs w:val="20"/>
          <w:lang w:eastAsia="es-ES"/>
        </w:rPr>
        <w:t xml:space="preserve"> La suscrita procedió a: </w:t>
      </w:r>
      <w:r w:rsidRPr="00FC6548">
        <w:rPr>
          <w:rFonts w:ascii="Arial" w:eastAsia="Times New Roman" w:hAnsi="Arial" w:cs="Arial"/>
          <w:b/>
          <w:sz w:val="20"/>
          <w:szCs w:val="20"/>
          <w:lang w:eastAsia="es-ES"/>
        </w:rPr>
        <w:t>A)</w:t>
      </w:r>
      <w:r w:rsidRPr="00FC6548">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FC6548">
        <w:rPr>
          <w:rFonts w:ascii="Arial" w:eastAsia="Times New Roman" w:hAnsi="Arial" w:cs="Arial"/>
          <w:b/>
          <w:color w:val="000000" w:themeColor="text1"/>
          <w:sz w:val="20"/>
          <w:szCs w:val="20"/>
          <w:lang w:eastAsia="es-ES"/>
        </w:rPr>
        <w:t>B)</w:t>
      </w:r>
      <w:r w:rsidRPr="00FC6548">
        <w:rPr>
          <w:rFonts w:ascii="Arial" w:eastAsia="Times New Roman" w:hAnsi="Arial" w:cs="Arial"/>
          <w:color w:val="000000" w:themeColor="text1"/>
          <w:sz w:val="20"/>
          <w:szCs w:val="20"/>
          <w:lang w:eastAsia="es-ES"/>
        </w:rPr>
        <w:t xml:space="preserve"> Se sometió para aprobación la siguiente agenda: </w:t>
      </w:r>
      <w:r w:rsidRPr="00FC6548">
        <w:rPr>
          <w:rFonts w:ascii="Arial" w:eastAsia="Times New Roman" w:hAnsi="Arial" w:cs="Arial"/>
          <w:b/>
          <w:color w:val="000000" w:themeColor="text1"/>
          <w:sz w:val="20"/>
          <w:szCs w:val="20"/>
          <w:lang w:eastAsia="es-ES"/>
        </w:rPr>
        <w:t xml:space="preserve">PUNTO UNO: </w:t>
      </w:r>
      <w:r w:rsidRPr="00FC6548">
        <w:rPr>
          <w:rFonts w:ascii="Arial" w:eastAsia="Times New Roman" w:hAnsi="Arial" w:cs="Arial"/>
          <w:color w:val="000000" w:themeColor="text1"/>
          <w:sz w:val="20"/>
          <w:szCs w:val="20"/>
          <w:lang w:eastAsia="es-ES"/>
        </w:rPr>
        <w:t xml:space="preserve">ACUERDOS: </w:t>
      </w:r>
      <w:r w:rsidRPr="00FC6548">
        <w:rPr>
          <w:rFonts w:ascii="Arial" w:eastAsia="Times New Roman" w:hAnsi="Arial" w:cs="Arial"/>
          <w:b/>
          <w:color w:val="000000" w:themeColor="text1"/>
          <w:sz w:val="20"/>
          <w:szCs w:val="20"/>
          <w:lang w:eastAsia="es-ES"/>
        </w:rPr>
        <w:t>a)</w:t>
      </w:r>
      <w:r w:rsidRPr="00FC6548">
        <w:rPr>
          <w:rFonts w:ascii="Arial" w:eastAsia="Times New Roman" w:hAnsi="Arial" w:cs="Arial"/>
          <w:color w:val="000000" w:themeColor="text1"/>
          <w:sz w:val="20"/>
          <w:szCs w:val="20"/>
          <w:lang w:eastAsia="es-ES"/>
        </w:rPr>
        <w:t xml:space="preserve"> Reestructuración Organizacional Técnica/Operativa, </w:t>
      </w:r>
      <w:r w:rsidRPr="00FC6548">
        <w:rPr>
          <w:rFonts w:ascii="Arial" w:eastAsia="Times New Roman" w:hAnsi="Arial" w:cs="Arial"/>
          <w:b/>
          <w:color w:val="000000" w:themeColor="text1"/>
          <w:sz w:val="20"/>
          <w:szCs w:val="20"/>
          <w:lang w:eastAsia="es-ES"/>
        </w:rPr>
        <w:t>b)</w:t>
      </w:r>
      <w:r w:rsidRPr="00FC6548">
        <w:rPr>
          <w:rFonts w:ascii="Arial" w:eastAsia="Times New Roman" w:hAnsi="Arial" w:cs="Arial"/>
          <w:color w:val="000000" w:themeColor="text1"/>
          <w:sz w:val="20"/>
          <w:szCs w:val="20"/>
          <w:lang w:eastAsia="es-ES"/>
        </w:rPr>
        <w:t xml:space="preserve"> Solicitud de estructuración de deuda y FIDEMUNI, </w:t>
      </w:r>
      <w:r w:rsidRPr="00FC6548">
        <w:rPr>
          <w:rFonts w:ascii="Arial" w:eastAsia="Times New Roman" w:hAnsi="Arial" w:cs="Arial"/>
          <w:b/>
          <w:color w:val="000000" w:themeColor="text1"/>
          <w:sz w:val="20"/>
          <w:szCs w:val="20"/>
          <w:lang w:eastAsia="es-ES"/>
        </w:rPr>
        <w:t xml:space="preserve">c) </w:t>
      </w:r>
      <w:r w:rsidRPr="00FC6548">
        <w:rPr>
          <w:rFonts w:ascii="Arial" w:eastAsia="Times New Roman" w:hAnsi="Arial" w:cs="Arial"/>
          <w:color w:val="000000" w:themeColor="text1"/>
          <w:sz w:val="20"/>
          <w:szCs w:val="20"/>
          <w:lang w:eastAsia="es-ES"/>
        </w:rPr>
        <w:t xml:space="preserve">Plan de Retiro Voluntario, </w:t>
      </w:r>
      <w:r w:rsidRPr="00FC6548">
        <w:rPr>
          <w:rFonts w:ascii="Arial" w:eastAsia="Times New Roman" w:hAnsi="Arial" w:cs="Arial"/>
          <w:b/>
          <w:color w:val="000000" w:themeColor="text1"/>
          <w:sz w:val="20"/>
          <w:szCs w:val="20"/>
          <w:lang w:eastAsia="es-ES"/>
        </w:rPr>
        <w:t>d)</w:t>
      </w:r>
      <w:r w:rsidRPr="00FC6548">
        <w:rPr>
          <w:rFonts w:ascii="Arial" w:eastAsia="Times New Roman" w:hAnsi="Arial" w:cs="Arial"/>
          <w:color w:val="000000" w:themeColor="text1"/>
          <w:sz w:val="20"/>
          <w:szCs w:val="20"/>
          <w:lang w:eastAsia="es-ES"/>
        </w:rPr>
        <w:t xml:space="preserve"> Salazar Romero. ”””””””””” </w:t>
      </w:r>
      <w:r w:rsidRPr="00FC6548">
        <w:rPr>
          <w:rFonts w:ascii="Arial" w:eastAsia="Times New Roman" w:hAnsi="Arial" w:cs="Arial"/>
          <w:b/>
          <w:color w:val="000000" w:themeColor="text1"/>
          <w:sz w:val="20"/>
          <w:szCs w:val="20"/>
          <w:lang w:eastAsia="es-ES"/>
        </w:rPr>
        <w:t xml:space="preserve">DISCUSION Y TOMA DE ACUERDOS. </w:t>
      </w:r>
      <w:r w:rsidRPr="00FC6548">
        <w:rPr>
          <w:rFonts w:ascii="Arial" w:eastAsia="Times New Roman" w:hAnsi="Arial" w:cs="Arial"/>
          <w:color w:val="000000" w:themeColor="text1"/>
          <w:sz w:val="20"/>
          <w:szCs w:val="20"/>
          <w:lang w:eastAsia="es-ES"/>
        </w:rPr>
        <w:t xml:space="preserve"> </w:t>
      </w:r>
      <w:r w:rsidRPr="00FC6548">
        <w:rPr>
          <w:rFonts w:ascii="Arial" w:eastAsia="Times New Roman" w:hAnsi="Arial" w:cs="Arial"/>
          <w:b/>
          <w:color w:val="000000" w:themeColor="text1"/>
          <w:sz w:val="20"/>
          <w:szCs w:val="20"/>
          <w:lang w:eastAsia="es-ES"/>
        </w:rPr>
        <w:t xml:space="preserve">a) </w:t>
      </w:r>
      <w:r w:rsidRPr="00FC6548">
        <w:rPr>
          <w:rFonts w:ascii="Arial" w:eastAsia="Times New Roman" w:hAnsi="Arial" w:cs="Arial"/>
          <w:b/>
          <w:color w:val="000000" w:themeColor="text1"/>
          <w:sz w:val="20"/>
          <w:szCs w:val="20"/>
          <w:u w:val="single"/>
          <w:lang w:eastAsia="es-ES"/>
        </w:rPr>
        <w:t>Reestructuración Organizacional Técnica/Operativa:</w:t>
      </w:r>
      <w:r w:rsidRPr="00FC6548">
        <w:rPr>
          <w:rFonts w:ascii="Arial" w:eastAsia="Times New Roman" w:hAnsi="Arial" w:cs="Arial"/>
          <w:color w:val="000000" w:themeColor="text1"/>
          <w:sz w:val="20"/>
          <w:szCs w:val="20"/>
          <w:lang w:eastAsia="es-ES"/>
        </w:rPr>
        <w:t xml:space="preserve"> El Licenciado Félix Alfredo Medina Cerna, Gerente General, da una breve reseña histórica de la unidad organizativa de la Municipalidad, expresando que ve necesario unas modificaciones al organigrama para que no se sature todo en la Gerencia General, desaparecerían las Jefaturas y se están creando Sub Gerencias, además manifiesta que con el mismo vendrán traslados y cambio de personal, exponiéndoles la propuesta de organigrama. Pide la palabra la Sindica Municipal quien le manifiesta por que no consideraron que alumbrado público este bajo Servicios Municipales, a lo que le responde que en Servicios Municipales han concentrado las áreas que generan algún tipo de ingresos. Pide la palabra el Regidor Rivera Hernández, quien manifiesta que hay que recordar que puestos de confianza ya no hay, para despedir todos deben seguir procesos, lo que si considera él es que deben haber profesionales en los puestos claves, los empíricos ya no funcionan, a él en lo personal ve bien la propuesta y espera que se eche a andar y funcione. Toma la palabra el Alcalde Municipal quien agradece la intervención y considera que tenemos como Municipalidad que modernizarnos y dentro de ello es con profesionales de planta, que se reconoce los esfuerzos que el personal está haciendo pero no podemos estar reciclando personas de la misma Alcaldía, faltan lineamientos claros para que funcione, que en lo personal está de acuerdo en los periodos de prueba y que espera que en el 2019 deben estar personas que cumplan rolles estratégicos  y que el Concejo solo sea para discutir cosas de mayor quilataje. Después de discutido ampliamente el punto se toma el acuerdo siguiente: </w:t>
      </w:r>
      <w:r w:rsidRPr="00FC6548">
        <w:rPr>
          <w:rFonts w:ascii="Arial" w:eastAsia="Times New Roman" w:hAnsi="Arial" w:cs="Arial"/>
          <w:b/>
          <w:sz w:val="20"/>
          <w:szCs w:val="20"/>
          <w:lang w:eastAsia="es-ES"/>
        </w:rPr>
        <w:t>ACUERDO NUMERO UNO:</w:t>
      </w:r>
      <w:r w:rsidRPr="00FC6548">
        <w:rPr>
          <w:rFonts w:ascii="Arial" w:eastAsia="Times New Roman" w:hAnsi="Arial" w:cs="Arial"/>
          <w:sz w:val="20"/>
          <w:szCs w:val="20"/>
          <w:lang w:eastAsia="es-ES"/>
        </w:rPr>
        <w:t xml:space="preserve"> El Concejo Municipal habiendo realizado el proceso de revisión de la estructura organizativa y administrativa de la municipalidad de Nejapa a efecto de adecuarla a la realidad socio-económica del Municipio y en uso de sus facultades legales y de conformidad a lo que dispone el Art. 10 y 11 de las Normas Técnicas de Control Interno Especificas de la municipalidad </w:t>
      </w:r>
      <w:r w:rsidRPr="00FC6548">
        <w:rPr>
          <w:rFonts w:ascii="Arial" w:eastAsia="Times New Roman" w:hAnsi="Arial" w:cs="Arial"/>
          <w:sz w:val="20"/>
          <w:szCs w:val="20"/>
          <w:lang w:eastAsia="es-ES"/>
        </w:rPr>
        <w:lastRenderedPageBreak/>
        <w:t xml:space="preserve">de Nejapa, se </w:t>
      </w:r>
      <w:r w:rsidRPr="00FC6548">
        <w:rPr>
          <w:rFonts w:ascii="Arial" w:eastAsia="Times New Roman" w:hAnsi="Arial" w:cs="Arial"/>
          <w:b/>
          <w:sz w:val="20"/>
          <w:szCs w:val="20"/>
          <w:lang w:eastAsia="es-ES"/>
        </w:rPr>
        <w:t>ACUERDA:</w:t>
      </w:r>
      <w:r w:rsidRPr="00FC6548">
        <w:rPr>
          <w:rFonts w:ascii="Arial" w:eastAsia="Times New Roman" w:hAnsi="Arial" w:cs="Arial"/>
          <w:sz w:val="20"/>
          <w:szCs w:val="20"/>
          <w:lang w:eastAsia="es-ES"/>
        </w:rPr>
        <w:t xml:space="preserve">  Aprobar la estructura organizativa y administrativa, conocida como ORGANIGRAMA, la que queda reflejada de la siguiente manera:</w:t>
      </w:r>
    </w:p>
    <w:p w:rsidR="00FC6548" w:rsidRPr="00FC6548" w:rsidRDefault="00FC6548" w:rsidP="00FC6548">
      <w:pPr>
        <w:spacing w:after="0" w:line="360" w:lineRule="auto"/>
        <w:jc w:val="both"/>
        <w:rPr>
          <w:rFonts w:ascii="Arial" w:eastAsia="Times New Roman" w:hAnsi="Arial" w:cs="Arial"/>
          <w:sz w:val="20"/>
          <w:szCs w:val="20"/>
          <w:lang w:eastAsia="es-ES"/>
        </w:rPr>
      </w:pPr>
    </w:p>
    <w:p w:rsidR="00FC6548" w:rsidRPr="00FC6548" w:rsidRDefault="00FC6548" w:rsidP="00FC6548">
      <w:pPr>
        <w:spacing w:after="0" w:line="360" w:lineRule="auto"/>
        <w:jc w:val="both"/>
        <w:rPr>
          <w:rFonts w:ascii="Arial" w:eastAsia="Times New Roman" w:hAnsi="Arial" w:cs="Arial"/>
          <w:sz w:val="20"/>
          <w:szCs w:val="20"/>
          <w:lang w:eastAsia="es-ES"/>
        </w:rPr>
      </w:pPr>
      <w:r w:rsidRPr="00FC6548">
        <w:rPr>
          <w:rFonts w:ascii="Times New Roman" w:eastAsia="Times New Roman" w:hAnsi="Times New Roman" w:cs="Times New Roman"/>
          <w:noProof/>
          <w:sz w:val="24"/>
          <w:szCs w:val="24"/>
          <w:lang w:eastAsia="es-SV"/>
        </w:rPr>
        <w:drawing>
          <wp:inline distT="0" distB="0" distL="0" distR="0" wp14:anchorId="7968063D" wp14:editId="26C45BA8">
            <wp:extent cx="5612130" cy="2542852"/>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2130" cy="2542852"/>
                    </a:xfrm>
                    <a:prstGeom prst="rect">
                      <a:avLst/>
                    </a:prstGeom>
                    <a:noFill/>
                    <a:ln>
                      <a:noFill/>
                    </a:ln>
                  </pic:spPr>
                </pic:pic>
              </a:graphicData>
            </a:graphic>
          </wp:inline>
        </w:drawing>
      </w:r>
    </w:p>
    <w:p w:rsidR="00FC6548" w:rsidRPr="00FC6548" w:rsidRDefault="00FC6548" w:rsidP="00FC6548">
      <w:pPr>
        <w:spacing w:after="0" w:line="360" w:lineRule="auto"/>
        <w:jc w:val="both"/>
        <w:rPr>
          <w:rFonts w:ascii="Arial" w:eastAsia="Calibri" w:hAnsi="Arial" w:cs="Arial"/>
          <w:sz w:val="20"/>
          <w:szCs w:val="20"/>
        </w:rPr>
      </w:pPr>
      <w:r w:rsidRPr="00FC6548">
        <w:rPr>
          <w:rFonts w:ascii="Arial" w:eastAsia="Times New Roman" w:hAnsi="Arial" w:cs="Arial"/>
          <w:sz w:val="20"/>
          <w:szCs w:val="20"/>
          <w:lang w:eastAsia="es-ES"/>
        </w:rPr>
        <w:t xml:space="preserve"> </w:t>
      </w:r>
      <w:r w:rsidRPr="00FC6548">
        <w:rPr>
          <w:rFonts w:ascii="Arial" w:eastAsia="Times New Roman" w:hAnsi="Arial" w:cs="Arial"/>
          <w:b/>
          <w:sz w:val="20"/>
          <w:szCs w:val="20"/>
          <w:u w:val="single"/>
          <w:lang w:eastAsia="es-ES"/>
        </w:rPr>
        <w:t>Votación Unánime.</w:t>
      </w:r>
      <w:r w:rsidRPr="00FC6548">
        <w:rPr>
          <w:rFonts w:ascii="Arial" w:eastAsia="Times New Roman" w:hAnsi="Arial" w:cs="Arial"/>
          <w:sz w:val="20"/>
          <w:szCs w:val="20"/>
          <w:lang w:eastAsia="es-ES"/>
        </w:rPr>
        <w:t xml:space="preserve"> Comuníquese. “””””””””, </w:t>
      </w:r>
      <w:r w:rsidRPr="00FC6548">
        <w:rPr>
          <w:rFonts w:ascii="Arial" w:eastAsia="Times New Roman" w:hAnsi="Arial" w:cs="Arial"/>
          <w:b/>
          <w:sz w:val="20"/>
          <w:szCs w:val="20"/>
          <w:lang w:eastAsia="es-ES"/>
        </w:rPr>
        <w:t>b)</w:t>
      </w:r>
      <w:r w:rsidRPr="00FC6548">
        <w:rPr>
          <w:rFonts w:ascii="Arial" w:eastAsia="Times New Roman" w:hAnsi="Arial" w:cs="Arial"/>
          <w:sz w:val="20"/>
          <w:szCs w:val="20"/>
          <w:lang w:eastAsia="es-ES"/>
        </w:rPr>
        <w:t xml:space="preserve"> </w:t>
      </w:r>
      <w:r w:rsidRPr="00FC6548">
        <w:rPr>
          <w:rFonts w:ascii="Arial" w:eastAsia="Times New Roman" w:hAnsi="Arial" w:cs="Arial"/>
          <w:b/>
          <w:sz w:val="20"/>
          <w:szCs w:val="20"/>
          <w:u w:val="single"/>
          <w:lang w:eastAsia="es-ES"/>
        </w:rPr>
        <w:t>Solicitud de estructuración de deuda y FIDEMUNI:</w:t>
      </w:r>
      <w:r w:rsidRPr="00FC6548">
        <w:rPr>
          <w:rFonts w:ascii="Arial" w:eastAsia="Times New Roman" w:hAnsi="Arial" w:cs="Arial"/>
          <w:b/>
          <w:color w:val="000000" w:themeColor="text1"/>
          <w:sz w:val="20"/>
          <w:szCs w:val="20"/>
          <w:lang w:eastAsia="es-ES"/>
        </w:rPr>
        <w:t xml:space="preserve"> </w:t>
      </w:r>
      <w:r w:rsidRPr="00FC6548">
        <w:rPr>
          <w:rFonts w:ascii="Arial" w:eastAsia="Times New Roman" w:hAnsi="Arial" w:cs="Arial"/>
          <w:color w:val="000000" w:themeColor="text1"/>
          <w:sz w:val="20"/>
          <w:szCs w:val="20"/>
          <w:lang w:eastAsia="es-ES"/>
        </w:rPr>
        <w:t xml:space="preserve">El Alcalde Municipal explica sobre  la deuda que tiene la Municipalidad y que mes a mes está pagando dejando muy poco margen de maniobra, por lo que se tiene la necesidad de contar con un empréstito, la cuota de $40,000.00 mensuales los tiene maniatados, merma la capacidad de realizar obras que vienen a beneficiar a las comunidades, explicando brevemente la situación financiera y pone de ejemplo el pago del proyecto del castaño, manifestando la estructura actual es insostenible con esa cuota, expresando su preocupación por que la categorización en Hacienda de A hemos pasado a B y que la disponibilidad en ISDEM es cero. Pide la palabra el Regidor Rivera Hernández quien manifiesta que está de acuerdo, pero le gustaría un planteamiento más profundo, sobre los proyectos que se van a ejecutar y el estado de la deuda y que se busquen opciones con Bancos que tienen intereses más bajo; pide la palabra  el Regidor Méndez Morán, quien pregunta si solo hay una propuesta, ya que ellos tienen conocidos que pueden participar se podría ver con ellas tasa y plazo, vuelve a pedir la palabra el Regidor Rivera Hernández quien pregunta si el crédito urge por el tema del aguinaldo había que sacar el dinero del cementerio y pagarlos. El Alcalde Municipal, dice que por supuesto se verá quien ofrece mejor tasa de interés y plazo, pero quiso traer el punto para que desde ya conozcan la situación de la Alcaldía, por que se estará a la espera de las propuestas; </w:t>
      </w:r>
      <w:r w:rsidRPr="00FC6548">
        <w:rPr>
          <w:rFonts w:ascii="Arial" w:eastAsia="Times New Roman" w:hAnsi="Arial" w:cs="Arial"/>
          <w:b/>
          <w:color w:val="000000" w:themeColor="text1"/>
          <w:sz w:val="20"/>
          <w:szCs w:val="20"/>
          <w:lang w:eastAsia="es-ES"/>
        </w:rPr>
        <w:t>c)</w:t>
      </w:r>
      <w:r w:rsidRPr="00FC6548">
        <w:rPr>
          <w:rFonts w:ascii="Arial" w:eastAsia="Times New Roman" w:hAnsi="Arial" w:cs="Arial"/>
          <w:color w:val="000000" w:themeColor="text1"/>
          <w:sz w:val="20"/>
          <w:szCs w:val="20"/>
          <w:lang w:eastAsia="es-ES"/>
        </w:rPr>
        <w:t xml:space="preserve">  </w:t>
      </w:r>
      <w:r w:rsidRPr="00FC6548">
        <w:rPr>
          <w:rFonts w:ascii="Arial" w:eastAsia="Times New Roman" w:hAnsi="Arial" w:cs="Arial"/>
          <w:b/>
          <w:color w:val="000000" w:themeColor="text1"/>
          <w:sz w:val="20"/>
          <w:szCs w:val="20"/>
          <w:u w:val="single"/>
          <w:lang w:eastAsia="es-ES"/>
        </w:rPr>
        <w:t>Plan de Retiro Voluntario:</w:t>
      </w:r>
      <w:r w:rsidRPr="00FC6548">
        <w:rPr>
          <w:rFonts w:ascii="Arial" w:eastAsia="Times New Roman" w:hAnsi="Arial" w:cs="Arial"/>
          <w:color w:val="000000" w:themeColor="text1"/>
          <w:sz w:val="20"/>
          <w:szCs w:val="20"/>
          <w:lang w:eastAsia="es-ES"/>
        </w:rPr>
        <w:t xml:space="preserve"> El Alcalde Municipal manifiesta que a la par de la estructuración del organigrama va un Plan de Retiro Voluntario, por lo que le solicita al Asesor Legal, Licenciado Sandoval Miranda para que lo exponga, y discutido el punto se toma el acuerdo siguiente: </w:t>
      </w:r>
      <w:r w:rsidRPr="00FC6548">
        <w:rPr>
          <w:rFonts w:ascii="Arial" w:eastAsia="Times New Roman" w:hAnsi="Arial" w:cs="Arial"/>
          <w:b/>
          <w:sz w:val="20"/>
          <w:szCs w:val="20"/>
          <w:lang w:eastAsia="es-ES"/>
        </w:rPr>
        <w:t xml:space="preserve">ACUERDO NUMERO DOS: a) DECRETO NUMERO CUATRO. </w:t>
      </w:r>
      <w:r w:rsidRPr="00FC6548">
        <w:rPr>
          <w:rFonts w:ascii="Arial" w:eastAsia="Calibri" w:hAnsi="Arial" w:cs="Arial"/>
          <w:b/>
          <w:sz w:val="20"/>
          <w:szCs w:val="20"/>
        </w:rPr>
        <w:t>EL CONCEJO MUNICIPAL DE NEJAPA, DEPARTAMENTO DE SAN SALVADOR. CONSIDERANDO</w:t>
      </w:r>
      <w:r w:rsidRPr="00FC6548">
        <w:rPr>
          <w:rFonts w:ascii="Arial" w:eastAsia="Calibri" w:hAnsi="Arial" w:cs="Arial"/>
          <w:sz w:val="20"/>
          <w:szCs w:val="20"/>
        </w:rPr>
        <w:t xml:space="preserve">: </w:t>
      </w:r>
      <w:r w:rsidRPr="00FC6548">
        <w:rPr>
          <w:rFonts w:ascii="Arial" w:eastAsia="Calibri" w:hAnsi="Arial" w:cs="Arial"/>
          <w:b/>
          <w:sz w:val="20"/>
          <w:szCs w:val="20"/>
        </w:rPr>
        <w:t>I</w:t>
      </w:r>
      <w:r w:rsidRPr="00FC6548">
        <w:rPr>
          <w:rFonts w:ascii="Arial" w:eastAsia="Calibri" w:hAnsi="Arial" w:cs="Arial"/>
          <w:sz w:val="20"/>
          <w:szCs w:val="20"/>
        </w:rPr>
        <w:t>.- Que el artículo</w:t>
      </w:r>
      <w:r w:rsidRPr="00FC6548">
        <w:rPr>
          <w:rFonts w:ascii="Arial" w:eastAsia="Times New Roman" w:hAnsi="Arial" w:cs="Arial"/>
          <w:b/>
          <w:bCs/>
          <w:color w:val="000000"/>
          <w:sz w:val="20"/>
          <w:szCs w:val="20"/>
          <w:lang w:eastAsia="es-ES_tradnl"/>
        </w:rPr>
        <w:t xml:space="preserve"> </w:t>
      </w:r>
      <w:r w:rsidRPr="00FC6548">
        <w:rPr>
          <w:rFonts w:ascii="Arial" w:eastAsia="Times New Roman" w:hAnsi="Arial" w:cs="Arial"/>
          <w:bCs/>
          <w:color w:val="000000"/>
          <w:sz w:val="20"/>
          <w:szCs w:val="20"/>
          <w:lang w:eastAsia="es-ES_tradnl"/>
        </w:rPr>
        <w:t>203 de la Constitución de la Republica establece:</w:t>
      </w:r>
      <w:r w:rsidRPr="00FC6548">
        <w:rPr>
          <w:rFonts w:ascii="Arial" w:eastAsia="Times New Roman" w:hAnsi="Arial" w:cs="Arial"/>
          <w:b/>
          <w:bCs/>
          <w:color w:val="000000"/>
          <w:sz w:val="20"/>
          <w:szCs w:val="20"/>
          <w:lang w:eastAsia="es-ES_tradnl"/>
        </w:rPr>
        <w:t xml:space="preserve"> </w:t>
      </w:r>
      <w:r w:rsidRPr="00FC6548">
        <w:rPr>
          <w:rFonts w:ascii="Arial" w:eastAsia="Times New Roman" w:hAnsi="Arial" w:cs="Arial"/>
          <w:bCs/>
          <w:color w:val="000000"/>
          <w:sz w:val="20"/>
          <w:szCs w:val="20"/>
          <w:lang w:eastAsia="es-ES_tradnl"/>
        </w:rPr>
        <w:t>que l</w:t>
      </w:r>
      <w:r w:rsidRPr="00FC6548">
        <w:rPr>
          <w:rFonts w:ascii="Arial" w:eastAsia="Times New Roman" w:hAnsi="Arial" w:cs="Arial"/>
          <w:color w:val="000000"/>
          <w:sz w:val="20"/>
          <w:szCs w:val="20"/>
          <w:lang w:eastAsia="es-ES_tradnl"/>
        </w:rPr>
        <w:t>os Municipios serán autónomos en lo económico, en lo técnico y en lo administrativo</w:t>
      </w:r>
      <w:r w:rsidRPr="00FC6548">
        <w:rPr>
          <w:rFonts w:ascii="Arial" w:eastAsia="Calibri" w:hAnsi="Arial" w:cs="Arial"/>
          <w:sz w:val="20"/>
          <w:szCs w:val="20"/>
        </w:rPr>
        <w:t xml:space="preserve"> y  el Articulo 204 ordinales 5º de la misma Carta Magna señala que la </w:t>
      </w:r>
      <w:r w:rsidRPr="00FC6548">
        <w:rPr>
          <w:rFonts w:ascii="Arial" w:eastAsia="Calibri" w:hAnsi="Arial" w:cs="Arial"/>
          <w:sz w:val="20"/>
          <w:szCs w:val="20"/>
        </w:rPr>
        <w:lastRenderedPageBreak/>
        <w:t xml:space="preserve">autonomía de los Municipios comprende: 5º Decretar las Ordenanzas y Reglamento locales, en relación al artículo 3, numeral 3  y 5 del Código Municipal. </w:t>
      </w:r>
      <w:r w:rsidRPr="00FC6548">
        <w:rPr>
          <w:rFonts w:ascii="Arial" w:eastAsia="Calibri" w:hAnsi="Arial" w:cs="Arial"/>
          <w:b/>
          <w:sz w:val="20"/>
          <w:szCs w:val="20"/>
        </w:rPr>
        <w:t xml:space="preserve">II.- </w:t>
      </w:r>
      <w:r w:rsidRPr="00FC6548">
        <w:rPr>
          <w:rFonts w:ascii="Arial" w:eastAsia="Calibri" w:hAnsi="Arial" w:cs="Arial"/>
          <w:sz w:val="20"/>
          <w:szCs w:val="20"/>
        </w:rPr>
        <w:t xml:space="preserve">Que mediante Decreto Legislativo numero </w:t>
      </w:r>
      <w:r w:rsidRPr="00FC6548">
        <w:rPr>
          <w:rFonts w:ascii="Arial" w:eastAsia="Calibri" w:hAnsi="Arial" w:cs="Arial"/>
          <w:b/>
          <w:sz w:val="20"/>
          <w:szCs w:val="20"/>
        </w:rPr>
        <w:t>QUINIENTOS NOVENTA Y DOS,</w:t>
      </w:r>
      <w:r w:rsidRPr="00FC6548">
        <w:rPr>
          <w:rFonts w:ascii="Arial" w:eastAsia="Calibri" w:hAnsi="Arial" w:cs="Arial"/>
          <w:sz w:val="20"/>
          <w:szCs w:val="20"/>
        </w:rPr>
        <w:t xml:space="preserve"> emitido por la Asamblea Legislativa, el día dieciocho de diciembre de dos mil trece y publicado en el Diario Oficial número </w:t>
      </w:r>
      <w:r w:rsidRPr="00FC6548">
        <w:rPr>
          <w:rFonts w:ascii="Arial" w:eastAsia="Calibri" w:hAnsi="Arial" w:cs="Arial"/>
          <w:b/>
          <w:sz w:val="20"/>
          <w:szCs w:val="20"/>
        </w:rPr>
        <w:t>DOCE</w:t>
      </w:r>
      <w:r w:rsidRPr="00FC6548">
        <w:rPr>
          <w:rFonts w:ascii="Arial" w:eastAsia="Calibri" w:hAnsi="Arial" w:cs="Arial"/>
          <w:sz w:val="20"/>
          <w:szCs w:val="20"/>
        </w:rPr>
        <w:t xml:space="preserve">, Tomo numero </w:t>
      </w:r>
      <w:r w:rsidRPr="00FC6548">
        <w:rPr>
          <w:rFonts w:ascii="Arial" w:eastAsia="Calibri" w:hAnsi="Arial" w:cs="Arial"/>
          <w:b/>
          <w:sz w:val="20"/>
          <w:szCs w:val="20"/>
        </w:rPr>
        <w:t>CUATROCIENTOS DOS</w:t>
      </w:r>
      <w:r w:rsidRPr="00FC6548">
        <w:rPr>
          <w:rFonts w:ascii="Arial" w:eastAsia="Calibri" w:hAnsi="Arial" w:cs="Arial"/>
          <w:sz w:val="20"/>
          <w:szCs w:val="20"/>
        </w:rPr>
        <w:t xml:space="preserve">, de fecha veintiuno de enero de dos mil catorce, se decretó la Ley Reguladora de la Prestación Económica por Renuncia Voluntaria, con el objeto de regular las condiciones bajo las cuales las y los trabajadores permanentes que laboren en el sector privado, e instituciones autónomas que generen recursos propios y cuyas relaciones laborales se rigen por el Código de Trabajo, aun cuando no se mencionen en dicha ley, incluyendo el Instituto Salvadoreño del Seguro Social y la Comisión Ejecutiva Hidroeléctrica del Río Lempa, gozarán de una prestación económica por la renuncia voluntaria a su empleo, estableciendo una prestación económica equivalente a quince días de salario básico por cada año de servicio. </w:t>
      </w:r>
      <w:r w:rsidRPr="00FC6548">
        <w:rPr>
          <w:rFonts w:ascii="Arial" w:eastAsia="Calibri" w:hAnsi="Arial" w:cs="Arial"/>
          <w:b/>
          <w:sz w:val="20"/>
          <w:szCs w:val="20"/>
        </w:rPr>
        <w:t>III.-</w:t>
      </w:r>
      <w:r w:rsidRPr="00FC6548">
        <w:rPr>
          <w:rFonts w:ascii="Arial" w:eastAsia="Calibri" w:hAnsi="Arial" w:cs="Arial"/>
          <w:sz w:val="20"/>
          <w:szCs w:val="20"/>
        </w:rPr>
        <w:t xml:space="preserve"> Que mediante Decreto Municipal número </w:t>
      </w:r>
      <w:r w:rsidRPr="00FC6548">
        <w:rPr>
          <w:rFonts w:ascii="Arial" w:eastAsia="Calibri" w:hAnsi="Arial" w:cs="Arial"/>
          <w:b/>
          <w:sz w:val="20"/>
          <w:szCs w:val="20"/>
        </w:rPr>
        <w:t>SIETE,</w:t>
      </w:r>
      <w:r w:rsidRPr="00FC6548">
        <w:rPr>
          <w:rFonts w:ascii="Arial" w:eastAsia="Calibri" w:hAnsi="Arial" w:cs="Arial"/>
          <w:sz w:val="20"/>
          <w:szCs w:val="20"/>
        </w:rPr>
        <w:t xml:space="preserve"> emitido a los ocho días del mes de diciembre del año dos mil quince, por el Concejo Municipal de ese entonces, aprobó el Reglamento Interno de Trabajo, de esta municipalidad, en el cual en su artículo 47 establece que: “</w:t>
      </w:r>
      <w:r w:rsidRPr="00FC6548">
        <w:rPr>
          <w:rFonts w:ascii="Arial" w:eastAsia="Calibri" w:hAnsi="Arial" w:cs="Arial"/>
          <w:i/>
          <w:sz w:val="20"/>
          <w:szCs w:val="20"/>
        </w:rPr>
        <w:t>En el caso de Renuncia voluntaria la Municipalidad reconocerá al trabajador indistintamente cual fuere su forma de contratación una Compensación Económica, según lo establecido en la LCAM o la Ley Reguladora de la Prestación Económica por Renuncia Voluntaria, según sea el caso. Se exceptúan los contratos por servicios profesionales</w:t>
      </w:r>
      <w:r w:rsidRPr="00FC6548">
        <w:rPr>
          <w:rFonts w:ascii="Arial" w:eastAsia="Calibri" w:hAnsi="Arial" w:cs="Arial"/>
          <w:sz w:val="20"/>
          <w:szCs w:val="20"/>
        </w:rPr>
        <w:t xml:space="preserve">”.  </w:t>
      </w:r>
      <w:r w:rsidRPr="00FC6548">
        <w:rPr>
          <w:rFonts w:ascii="Arial" w:eastAsia="Calibri" w:hAnsi="Arial" w:cs="Arial"/>
          <w:b/>
          <w:sz w:val="20"/>
          <w:szCs w:val="20"/>
        </w:rPr>
        <w:t xml:space="preserve">IV.- </w:t>
      </w:r>
      <w:r w:rsidRPr="00FC6548">
        <w:rPr>
          <w:rFonts w:ascii="Arial" w:eastAsia="Calibri" w:hAnsi="Arial" w:cs="Arial"/>
          <w:sz w:val="20"/>
          <w:szCs w:val="20"/>
        </w:rPr>
        <w:t xml:space="preserve">Que no obstante nuestro Reglamento Interno ya contempla la Renuncia Voluntaria, este únicamente se aplica a todos los trabajadores de la Municipalidad, indistintamente que su relación laboral emane del Concejo Municipal y/o Alcalde a través de un nombramiento ya sea en plaza permanente, funcionarios de confianza o por Contrato de Trabajo, de conformidad a lo establecido en su artículo 3, no obstante, este Concejo considera procedente decretar el presente instrumento con el objetivo que este beneficio se aplique de manera transitoria a todos los empleados de la municipalidad, indistintamente su forma de contratación, exceptuando únicamente a los contratados por servicios profesionales, estableciendo una remuneración por lo cual tendrán derecho a una indemnización equivalente </w:t>
      </w:r>
      <w:r w:rsidRPr="00FC6548">
        <w:rPr>
          <w:rFonts w:ascii="Arial" w:eastAsia="Calibri" w:hAnsi="Arial" w:cs="Arial"/>
          <w:b/>
          <w:sz w:val="20"/>
          <w:szCs w:val="20"/>
        </w:rPr>
        <w:t>al  cien por ciento del salario</w:t>
      </w:r>
      <w:r w:rsidRPr="00FC6548">
        <w:rPr>
          <w:rFonts w:ascii="Arial" w:eastAsia="Calibri" w:hAnsi="Arial" w:cs="Arial"/>
          <w:sz w:val="20"/>
          <w:szCs w:val="20"/>
        </w:rPr>
        <w:t xml:space="preserve"> por cada año de servicio. </w:t>
      </w:r>
      <w:r w:rsidRPr="00FC6548">
        <w:rPr>
          <w:rFonts w:ascii="Arial" w:eastAsia="Calibri" w:hAnsi="Arial" w:cs="Arial"/>
          <w:b/>
          <w:sz w:val="20"/>
          <w:szCs w:val="20"/>
        </w:rPr>
        <w:t xml:space="preserve">V. </w:t>
      </w:r>
      <w:r w:rsidRPr="00FC6548">
        <w:rPr>
          <w:rFonts w:ascii="Arial" w:eastAsia="Calibri" w:hAnsi="Arial" w:cs="Arial"/>
          <w:sz w:val="20"/>
          <w:szCs w:val="20"/>
        </w:rPr>
        <w:t xml:space="preserve">Que actualmente en la Alcaldia municipal de Nejapa existe una cantidad importante de empleados, quienes habiendo obtenido su pensión de vejez, y habiendo alcanzado la tercera edad, aún se encuentran laborando; que aquellos empleados que por diferentes razones ya no quieran continuar laborando en esta institución, pero que debido a que la Ley Reguladora de la Prestación Económica por Renuncia Voluntaria, establece un monto muy bajo 15 días de salario por cada año laborado, éstos no interponen su renuncia, dificultando con ello que otras personas que se encuentran desempleadas y tengan el deseo de laborar en esta institución puedan accesar y trabajar en este Municipio.  </w:t>
      </w:r>
      <w:r w:rsidRPr="00FC6548">
        <w:rPr>
          <w:rFonts w:ascii="Arial" w:eastAsia="Calibri" w:hAnsi="Arial" w:cs="Arial"/>
          <w:b/>
          <w:sz w:val="20"/>
          <w:szCs w:val="20"/>
        </w:rPr>
        <w:t>POR TANTO</w:t>
      </w:r>
      <w:r w:rsidRPr="00FC6548">
        <w:rPr>
          <w:rFonts w:ascii="Arial" w:eastAsia="Calibri" w:hAnsi="Arial" w:cs="Arial"/>
          <w:sz w:val="20"/>
          <w:szCs w:val="20"/>
        </w:rPr>
        <w:t>, en uso de sus facultades el Concejo Municipal de Nejapa Departamento de San Salvador, DECRETA la siguiente: “</w:t>
      </w:r>
      <w:r w:rsidRPr="00FC6548">
        <w:rPr>
          <w:rFonts w:ascii="Arial" w:eastAsia="Calibri" w:hAnsi="Arial" w:cs="Arial"/>
          <w:b/>
          <w:sz w:val="20"/>
          <w:szCs w:val="20"/>
        </w:rPr>
        <w:t>ORDENANZA TRANSITORIA DE RETIRO VOLUNTARIO, QUE OTORGA EL PAGO DE UNA INDEMNIZACION PARA AQUELLOS EMPLEADOS QUE DESEEN RENUNCIAR</w:t>
      </w:r>
      <w:r w:rsidRPr="00FC6548">
        <w:rPr>
          <w:rFonts w:ascii="Arial" w:eastAsia="Calibri" w:hAnsi="Arial" w:cs="Arial"/>
          <w:sz w:val="20"/>
          <w:szCs w:val="20"/>
        </w:rPr>
        <w:t xml:space="preserve">.” </w:t>
      </w:r>
      <w:r w:rsidRPr="00FC6548">
        <w:rPr>
          <w:rFonts w:ascii="Arial" w:eastAsia="Calibri" w:hAnsi="Arial" w:cs="Arial"/>
          <w:b/>
          <w:sz w:val="20"/>
          <w:szCs w:val="20"/>
        </w:rPr>
        <w:t xml:space="preserve">OBJETO. </w:t>
      </w:r>
      <w:r w:rsidRPr="00FC6548">
        <w:rPr>
          <w:rFonts w:ascii="Arial" w:eastAsia="Calibri" w:hAnsi="Arial" w:cs="Arial"/>
          <w:sz w:val="20"/>
          <w:szCs w:val="20"/>
        </w:rPr>
        <w:t xml:space="preserve">Artículo 1.- La presente ordenanza </w:t>
      </w:r>
      <w:r w:rsidRPr="00FC6548">
        <w:rPr>
          <w:rFonts w:ascii="Arial" w:eastAsia="Calibri" w:hAnsi="Arial" w:cs="Arial"/>
          <w:sz w:val="20"/>
          <w:szCs w:val="20"/>
        </w:rPr>
        <w:lastRenderedPageBreak/>
        <w:t xml:space="preserve">transitoria se aplicará a todos los trabajadores de la municipalidad indistintamente de que su relación laboral sea emanada del Concejo Municipal y/o Alcalde Municipal a través de un nombramiento, ya sea en plaza que se encuentre reguladas por la Ley de la Carrera Administrativa Municipal, por Contrato, Funcionarios de Confianza, Eventuales, o cualquier otro tipo de contratación exceptuando los Contratados por Servicios Profesionales. </w:t>
      </w:r>
      <w:r w:rsidRPr="00FC6548">
        <w:rPr>
          <w:rFonts w:ascii="Arial" w:eastAsia="Calibri" w:hAnsi="Arial" w:cs="Arial"/>
          <w:b/>
          <w:sz w:val="20"/>
          <w:szCs w:val="20"/>
        </w:rPr>
        <w:t xml:space="preserve">TIEMPO MINIMO DE SERVICIO. </w:t>
      </w:r>
      <w:r w:rsidRPr="00FC6548">
        <w:rPr>
          <w:rFonts w:ascii="Arial" w:eastAsia="Calibri" w:hAnsi="Arial" w:cs="Arial"/>
          <w:sz w:val="20"/>
          <w:szCs w:val="20"/>
        </w:rPr>
        <w:t xml:space="preserve">Artículo  2.- Podrán optar a la prestación económica regulada en la presente Ordenanza todos aquellos trabajadores municipales que a la fecha de entrada en vigencia de la presente, registren una antigüedad de más de </w:t>
      </w:r>
      <w:r w:rsidRPr="00FC6548">
        <w:rPr>
          <w:rFonts w:ascii="Arial" w:eastAsia="Calibri" w:hAnsi="Arial" w:cs="Arial"/>
          <w:b/>
          <w:sz w:val="20"/>
          <w:szCs w:val="20"/>
          <w:u w:val="single"/>
        </w:rPr>
        <w:t>DOS AÑOS continuos y efectivos</w:t>
      </w:r>
      <w:r w:rsidRPr="00FC6548">
        <w:rPr>
          <w:rFonts w:ascii="Arial" w:eastAsia="Calibri" w:hAnsi="Arial" w:cs="Arial"/>
          <w:sz w:val="20"/>
          <w:szCs w:val="20"/>
        </w:rPr>
        <w:t xml:space="preserve">.  </w:t>
      </w:r>
      <w:r w:rsidRPr="00FC6548">
        <w:rPr>
          <w:rFonts w:ascii="Arial" w:eastAsia="Calibri" w:hAnsi="Arial" w:cs="Arial"/>
          <w:b/>
          <w:sz w:val="20"/>
          <w:szCs w:val="20"/>
        </w:rPr>
        <w:t xml:space="preserve">PLAZO. </w:t>
      </w:r>
      <w:r w:rsidRPr="00FC6548">
        <w:rPr>
          <w:rFonts w:ascii="Arial" w:eastAsia="Calibri" w:hAnsi="Arial" w:cs="Arial"/>
          <w:sz w:val="20"/>
          <w:szCs w:val="20"/>
        </w:rPr>
        <w:t xml:space="preserve">Artículo  3.- El plazo para adherirse a la presente Ordenanza será de tres meses contados a partir de la entrada en vigencia de la misma. </w:t>
      </w:r>
      <w:r w:rsidRPr="00FC6548">
        <w:rPr>
          <w:rFonts w:ascii="Arial" w:eastAsia="Calibri" w:hAnsi="Arial" w:cs="Arial"/>
          <w:b/>
          <w:sz w:val="20"/>
          <w:szCs w:val="20"/>
        </w:rPr>
        <w:t xml:space="preserve">PRESTACION ECONOMICA POR RENUNCIA. </w:t>
      </w:r>
      <w:r w:rsidRPr="00FC6548">
        <w:rPr>
          <w:rFonts w:ascii="Arial" w:eastAsia="Calibri" w:hAnsi="Arial" w:cs="Arial"/>
          <w:sz w:val="20"/>
          <w:szCs w:val="20"/>
        </w:rPr>
        <w:t xml:space="preserve">Artículo 4.- Los trabajadores que optaren por adherirse a la presente recibirán una prestación económica equivalente al CIEN POR CIENTO  del salario básico por cada año de servicio trabajado.  Para los efectos del cálculo de la prestación económica a que se refiere el inciso anterior, ningún salario podrá  exceder de dos salarios mínimos vigentes del sector servicio y no podrá exceder de quince años de trabajo y se otorgará de conformidad a la siguiente tabla: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5"/>
        <w:gridCol w:w="2975"/>
      </w:tblGrid>
      <w:tr w:rsidR="00FC6548" w:rsidRPr="00FC6548" w:rsidTr="003607CE">
        <w:trPr>
          <w:trHeight w:val="566"/>
        </w:trPr>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Antigüedad</w:t>
            </w:r>
          </w:p>
        </w:tc>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Prima</w:t>
            </w:r>
          </w:p>
        </w:tc>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Cantidad de cuotas</w:t>
            </w:r>
          </w:p>
        </w:tc>
      </w:tr>
      <w:tr w:rsidR="00FC6548" w:rsidRPr="00FC6548" w:rsidTr="003607CE">
        <w:trPr>
          <w:trHeight w:val="404"/>
        </w:trPr>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De dos a cinco años</w:t>
            </w:r>
          </w:p>
        </w:tc>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25 %  del total</w:t>
            </w:r>
          </w:p>
        </w:tc>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Mínima 4 – Máxima 12</w:t>
            </w:r>
          </w:p>
        </w:tc>
      </w:tr>
      <w:tr w:rsidR="00FC6548" w:rsidRPr="00FC6548" w:rsidTr="003607CE">
        <w:trPr>
          <w:trHeight w:val="568"/>
        </w:trPr>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 xml:space="preserve">De seis a diez años </w:t>
            </w:r>
          </w:p>
        </w:tc>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25 %  del total</w:t>
            </w:r>
          </w:p>
        </w:tc>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Mínima 6 – Máxima 12</w:t>
            </w:r>
          </w:p>
        </w:tc>
      </w:tr>
      <w:tr w:rsidR="00FC6548" w:rsidRPr="00FC6548" w:rsidTr="003607CE">
        <w:trPr>
          <w:trHeight w:val="406"/>
        </w:trPr>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 xml:space="preserve">De once a quince años </w:t>
            </w:r>
          </w:p>
        </w:tc>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25 %  del total</w:t>
            </w:r>
          </w:p>
        </w:tc>
        <w:tc>
          <w:tcPr>
            <w:tcW w:w="2975" w:type="dxa"/>
            <w:shd w:val="clear" w:color="auto" w:fill="auto"/>
          </w:tcPr>
          <w:p w:rsidR="00FC6548" w:rsidRPr="00FC6548" w:rsidRDefault="00FC6548" w:rsidP="00FC6548">
            <w:pPr>
              <w:tabs>
                <w:tab w:val="left" w:pos="2235"/>
              </w:tabs>
              <w:spacing w:after="0" w:line="240" w:lineRule="auto"/>
              <w:jc w:val="both"/>
              <w:rPr>
                <w:rFonts w:ascii="Arial" w:eastAsia="Calibri" w:hAnsi="Arial" w:cs="Arial"/>
                <w:sz w:val="20"/>
                <w:szCs w:val="20"/>
              </w:rPr>
            </w:pPr>
            <w:r w:rsidRPr="00FC6548">
              <w:rPr>
                <w:rFonts w:ascii="Arial" w:eastAsia="Calibri" w:hAnsi="Arial" w:cs="Arial"/>
                <w:sz w:val="20"/>
                <w:szCs w:val="20"/>
              </w:rPr>
              <w:t>Mínima 8 – Máxima 14</w:t>
            </w:r>
          </w:p>
        </w:tc>
      </w:tr>
    </w:tbl>
    <w:p w:rsidR="00FC6548" w:rsidRPr="00FC6548" w:rsidRDefault="00FC6548" w:rsidP="00FC6548">
      <w:pPr>
        <w:tabs>
          <w:tab w:val="left" w:pos="2235"/>
        </w:tabs>
        <w:jc w:val="both"/>
        <w:rPr>
          <w:rFonts w:ascii="Arial" w:eastAsia="Calibri" w:hAnsi="Arial" w:cs="Arial"/>
          <w:sz w:val="20"/>
          <w:szCs w:val="20"/>
        </w:rPr>
      </w:pPr>
    </w:p>
    <w:p w:rsidR="00FC6548" w:rsidRPr="00FC6548" w:rsidRDefault="00FC6548" w:rsidP="00FC6548">
      <w:pPr>
        <w:spacing w:line="360" w:lineRule="auto"/>
        <w:ind w:right="-15"/>
        <w:jc w:val="both"/>
        <w:rPr>
          <w:rFonts w:ascii="Arial" w:hAnsi="Arial" w:cs="Arial"/>
          <w:sz w:val="20"/>
          <w:szCs w:val="20"/>
          <w:lang w:eastAsia="es-ES"/>
        </w:rPr>
      </w:pPr>
      <w:r w:rsidRPr="00FC6548">
        <w:rPr>
          <w:rFonts w:ascii="Arial" w:eastAsia="Calibri" w:hAnsi="Arial" w:cs="Arial"/>
          <w:sz w:val="20"/>
          <w:szCs w:val="20"/>
        </w:rPr>
        <w:t xml:space="preserve">Artículo 5-  Para el cálculo de la indemnización determinada en el artículo anterior, se deberá tomar la remuneración mensual normal y habitual percibida por el trabajador. Se excluyen las sumas percibidas en concepto de viáticos, horas extras, bonificaciones sueldo anual complementario. A los fines del cálculo de la antigüedad los periodos superiores a SEIS meses, se considerarán año completo.  Articulo 6.- Para el pago de la  prestación económica regulada la municipalidad deberá de contemplar en el presupuesto dos mil diecinueve el gasto de esta por cada empleado y podrá ser cancelado en un solo pago o en cuotas, dependiendo de la disponibilidad económica. </w:t>
      </w:r>
      <w:r w:rsidRPr="00FC6548">
        <w:rPr>
          <w:rFonts w:ascii="Arial" w:eastAsia="Calibri" w:hAnsi="Arial" w:cs="Arial"/>
          <w:b/>
          <w:sz w:val="20"/>
          <w:szCs w:val="20"/>
        </w:rPr>
        <w:t xml:space="preserve">FORMA DE PAGO EN CUOTAS. </w:t>
      </w:r>
      <w:r w:rsidRPr="00FC6548">
        <w:rPr>
          <w:rFonts w:ascii="Arial" w:eastAsia="Calibri" w:hAnsi="Arial" w:cs="Arial"/>
          <w:sz w:val="20"/>
          <w:szCs w:val="20"/>
        </w:rPr>
        <w:t xml:space="preserve">Artículo 7.- Las cuotas a abonar en concepto de la prestación económica regulada serán efectivizadas de la siguiente manera: a) El pago inicial a los TREINTA (30) días del dictado del acto administrativo que dispuso la aceptación del retiro voluntario, b) Las cuotas restantes: Del 24 al 30 de cada mes.  </w:t>
      </w:r>
      <w:r w:rsidRPr="00FC6548">
        <w:rPr>
          <w:rFonts w:ascii="Arial" w:eastAsia="Calibri" w:hAnsi="Arial" w:cs="Arial"/>
          <w:b/>
          <w:sz w:val="20"/>
          <w:szCs w:val="20"/>
        </w:rPr>
        <w:t xml:space="preserve">EXCEPCIÓN TRIBUTARIA.  </w:t>
      </w:r>
      <w:r w:rsidRPr="00FC6548">
        <w:rPr>
          <w:rFonts w:ascii="Arial" w:eastAsia="Calibri" w:hAnsi="Arial" w:cs="Arial"/>
          <w:sz w:val="20"/>
          <w:szCs w:val="20"/>
        </w:rPr>
        <w:t xml:space="preserve">Artículo 8.- La compensación económica que se pague al trabajador como consecuencia de las regulaciones establecidas en la presente Ordenanza, estará exenta del pago del Impuesto sobre la Renta. </w:t>
      </w:r>
      <w:r w:rsidRPr="00FC6548">
        <w:rPr>
          <w:rFonts w:ascii="Arial" w:eastAsia="Calibri" w:hAnsi="Arial" w:cs="Arial"/>
          <w:b/>
          <w:sz w:val="20"/>
          <w:szCs w:val="20"/>
        </w:rPr>
        <w:t xml:space="preserve">CONSECUENCIAS DE ADHERIRSE A LA PRESENTE ORDENANZA. </w:t>
      </w:r>
      <w:r w:rsidRPr="00FC6548">
        <w:rPr>
          <w:rFonts w:ascii="Arial" w:eastAsia="Calibri" w:hAnsi="Arial" w:cs="Arial"/>
          <w:sz w:val="20"/>
          <w:szCs w:val="20"/>
        </w:rPr>
        <w:t xml:space="preserve">Artículo 9-. La adhesión a la presente impedirá la reincorporación del empleado por cualquiera de los regímenes laborales comprendidos dentro de esta municipalidad. Así mismo implicará la aceptación de la inexistencia de reclamos fundados en la </w:t>
      </w:r>
      <w:r w:rsidRPr="00FC6548">
        <w:rPr>
          <w:rFonts w:ascii="Arial" w:eastAsia="Calibri" w:hAnsi="Arial" w:cs="Arial"/>
          <w:sz w:val="20"/>
          <w:szCs w:val="20"/>
        </w:rPr>
        <w:lastRenderedPageBreak/>
        <w:t xml:space="preserve">extinción de la relación de empleo público por vía del retiro. </w:t>
      </w:r>
      <w:r w:rsidRPr="00FC6548">
        <w:rPr>
          <w:rFonts w:ascii="Arial" w:eastAsia="Calibri" w:hAnsi="Arial" w:cs="Arial"/>
          <w:b/>
          <w:sz w:val="20"/>
          <w:szCs w:val="20"/>
        </w:rPr>
        <w:t xml:space="preserve">OTROS BENEFICIOS. </w:t>
      </w:r>
      <w:r w:rsidRPr="00FC6548">
        <w:rPr>
          <w:rFonts w:ascii="Arial" w:eastAsia="Calibri" w:hAnsi="Arial" w:cs="Arial"/>
          <w:sz w:val="20"/>
          <w:szCs w:val="20"/>
        </w:rPr>
        <w:t xml:space="preserve">Artículo 10.- Se establece que los empleados que por motivos de vejez, falta de años de cotización, pago de suma alzada entre otros, que se adhieran a la presente y que no les permita tramitar una pensión y que perderían el derecho a la salud o la atención en el ISSS, contarán con la cobertura que brinda La Clínica Municipal “Tres Cantos” donde tendrán trato preferencial en la consulta general, odontológica, fisioterapia, medicamentos y otros servicios que sean incorporados a la clínica relacionada con el tiempo. Los medicamentos o tratamientos que no puedan ser proporcionados por no haber existencia en su inventario de medicamentos serán por cuenta del beneficiario. La acreditación para gozar de este beneficio, al beneficiario le será entregado un carnet y el cual le será renovado anualmente, dicho carnet tendrá el nombre completo del beneficiado, numero de DUI y la categoría de ex empleado municipal. </w:t>
      </w:r>
      <w:r w:rsidRPr="00FC6548">
        <w:rPr>
          <w:rFonts w:ascii="Arial" w:eastAsia="Calibri" w:hAnsi="Arial" w:cs="Arial"/>
          <w:b/>
          <w:sz w:val="20"/>
          <w:szCs w:val="20"/>
        </w:rPr>
        <w:t xml:space="preserve">SUPLETORIEDAD. </w:t>
      </w:r>
      <w:r w:rsidRPr="00FC6548">
        <w:rPr>
          <w:rFonts w:ascii="Arial" w:eastAsia="Calibri" w:hAnsi="Arial" w:cs="Arial"/>
          <w:sz w:val="20"/>
          <w:szCs w:val="20"/>
        </w:rPr>
        <w:t xml:space="preserve">Artículo 11.- En todo lo que no estuviera previsto en la presente ordenanza, se aplicaran en lo que fuera pertinente, las disposiciones contenidas en La Ley Reguladora de la Prestación Económica por Renuncia Voluntaria y el Código de Trabajo, en ese orden.  </w:t>
      </w:r>
      <w:r w:rsidRPr="00FC6548">
        <w:rPr>
          <w:rFonts w:ascii="Arial" w:eastAsia="Calibri" w:hAnsi="Arial" w:cs="Arial"/>
          <w:b/>
          <w:sz w:val="20"/>
          <w:szCs w:val="20"/>
        </w:rPr>
        <w:t xml:space="preserve">VIGENCIA. </w:t>
      </w:r>
      <w:r w:rsidRPr="00FC6548">
        <w:rPr>
          <w:rFonts w:ascii="Arial" w:eastAsia="Calibri" w:hAnsi="Arial" w:cs="Arial"/>
          <w:sz w:val="20"/>
          <w:szCs w:val="20"/>
        </w:rPr>
        <w:t xml:space="preserve">Artículo 12.- La presente Ordenanza entrara en vigencia ocho días después de su publicación en el Diario Oficial, </w:t>
      </w:r>
      <w:r w:rsidRPr="00FC6548">
        <w:rPr>
          <w:rFonts w:ascii="Arial" w:eastAsia="Calibri" w:hAnsi="Arial" w:cs="Arial"/>
          <w:b/>
          <w:sz w:val="20"/>
          <w:szCs w:val="20"/>
        </w:rPr>
        <w:t>b)</w:t>
      </w:r>
      <w:r w:rsidRPr="00FC6548">
        <w:rPr>
          <w:rFonts w:ascii="Arial" w:eastAsia="Calibri" w:hAnsi="Arial" w:cs="Arial"/>
          <w:sz w:val="20"/>
          <w:szCs w:val="20"/>
        </w:rPr>
        <w:t xml:space="preserve"> </w:t>
      </w:r>
      <w:r w:rsidRPr="00FC6548">
        <w:rPr>
          <w:rFonts w:ascii="Arial" w:eastAsia="Times New Roman" w:hAnsi="Arial" w:cs="Arial"/>
          <w:sz w:val="20"/>
          <w:szCs w:val="20"/>
          <w:lang w:eastAsia="es-ES"/>
        </w:rPr>
        <w:t xml:space="preserve">Autorizar que la Tesorera Municipal erogue la cantidad de </w:t>
      </w:r>
      <w:r w:rsidRPr="00FC6548">
        <w:rPr>
          <w:rFonts w:ascii="Arial" w:eastAsia="Times New Roman" w:hAnsi="Arial" w:cs="Arial"/>
          <w:b/>
          <w:sz w:val="20"/>
          <w:szCs w:val="20"/>
          <w:lang w:eastAsia="es-ES"/>
        </w:rPr>
        <w:t>CIENTO SESENTA Y UN DOLARES CON CINCUENTA CENTAVOS DE DÓLAR DE LOS ESTADOS UNIDOS DE AMERICA</w:t>
      </w:r>
      <w:r w:rsidRPr="00FC6548">
        <w:rPr>
          <w:rFonts w:ascii="Arial" w:eastAsia="Times New Roman" w:hAnsi="Arial" w:cs="Arial"/>
          <w:sz w:val="20"/>
          <w:szCs w:val="20"/>
          <w:lang w:eastAsia="es-ES"/>
        </w:rPr>
        <w:t xml:space="preserve"> ($161.50) que serán utilizados para publicar en el Diario Oficial la Ordenanza aprobada en el literal a)</w:t>
      </w:r>
      <w:r w:rsidRPr="00FC6548">
        <w:rPr>
          <w:rFonts w:ascii="Arial" w:eastAsia="Times New Roman" w:hAnsi="Arial" w:cs="Arial"/>
          <w:color w:val="000000" w:themeColor="text1"/>
          <w:sz w:val="20"/>
          <w:szCs w:val="20"/>
          <w:lang w:eastAsia="es-ES"/>
        </w:rPr>
        <w:t>, monto que entregará a la Secretaria del Concejo, Licenciada Silvia Noemy Ayala Guillén, quien lo liquidará con los comprobantes legalmente aceptados</w:t>
      </w:r>
      <w:r w:rsidRPr="00FC6548">
        <w:rPr>
          <w:rFonts w:ascii="Arial" w:eastAsia="Calibri" w:hAnsi="Arial" w:cs="Arial"/>
          <w:sz w:val="20"/>
          <w:szCs w:val="20"/>
        </w:rPr>
        <w:t xml:space="preserve">. </w:t>
      </w:r>
      <w:r w:rsidRPr="00FC6548">
        <w:rPr>
          <w:rFonts w:ascii="Arial" w:eastAsia="Times New Roman" w:hAnsi="Arial" w:cs="Arial"/>
          <w:b/>
          <w:sz w:val="20"/>
          <w:szCs w:val="20"/>
          <w:u w:val="single"/>
          <w:lang w:eastAsia="es-ES"/>
        </w:rPr>
        <w:t>El presente acuerdo se aprueba con nueve votos y no vota el Regidor Eulalio Rodríguez Flores.</w:t>
      </w:r>
      <w:r w:rsidRPr="00FC6548">
        <w:rPr>
          <w:rFonts w:ascii="Arial" w:eastAsia="Times New Roman" w:hAnsi="Arial" w:cs="Arial"/>
          <w:sz w:val="20"/>
          <w:szCs w:val="20"/>
          <w:lang w:eastAsia="es-ES"/>
        </w:rPr>
        <w:t xml:space="preserve"> Publíquese.””””””””, c) </w:t>
      </w:r>
      <w:r w:rsidRPr="00FC6548">
        <w:rPr>
          <w:rFonts w:ascii="Arial" w:eastAsia="Times New Roman" w:hAnsi="Arial" w:cs="Arial"/>
          <w:b/>
          <w:sz w:val="20"/>
          <w:szCs w:val="20"/>
          <w:lang w:eastAsia="es-ES"/>
        </w:rPr>
        <w:t xml:space="preserve">Salazar Romero: </w:t>
      </w:r>
      <w:r w:rsidRPr="00FC6548">
        <w:rPr>
          <w:rFonts w:ascii="Arial" w:eastAsia="Times New Roman" w:hAnsi="Arial" w:cs="Arial"/>
          <w:sz w:val="20"/>
          <w:szCs w:val="20"/>
          <w:lang w:eastAsia="es-ES"/>
        </w:rPr>
        <w:t xml:space="preserve">Expuesto el punto por el Asesor Legal, Licenciado Sandoval Miranda, se toma el acuerdo siguiente: </w:t>
      </w:r>
      <w:r w:rsidRPr="00FC6548">
        <w:rPr>
          <w:rFonts w:ascii="Arial" w:eastAsia="Times New Roman" w:hAnsi="Arial" w:cs="Arial"/>
          <w:b/>
          <w:sz w:val="20"/>
          <w:szCs w:val="20"/>
          <w:lang w:eastAsia="es-ES"/>
        </w:rPr>
        <w:t xml:space="preserve">ACUERDO NUMERO TRES: </w:t>
      </w:r>
      <w:r w:rsidRPr="00FC6548">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FC6548">
        <w:rPr>
          <w:rFonts w:ascii="Arial" w:eastAsia="Times New Roman" w:hAnsi="Arial" w:cs="Arial"/>
          <w:b/>
          <w:sz w:val="20"/>
          <w:szCs w:val="20"/>
          <w:shd w:val="clear" w:color="auto" w:fill="FFFFFF"/>
          <w:lang w:eastAsia="es-ES"/>
        </w:rPr>
        <w:t>I.</w:t>
      </w:r>
      <w:r w:rsidRPr="00FC6548">
        <w:rPr>
          <w:rFonts w:ascii="Arial" w:eastAsia="Times New Roman" w:hAnsi="Arial" w:cs="Arial"/>
          <w:sz w:val="20"/>
          <w:szCs w:val="20"/>
          <w:shd w:val="clear" w:color="auto" w:fill="FFFFFF"/>
          <w:lang w:eastAsia="es-ES"/>
        </w:rPr>
        <w:t xml:space="preserve"> </w:t>
      </w:r>
      <w:r w:rsidRPr="00FC6548">
        <w:rPr>
          <w:rFonts w:ascii="Arial" w:eastAsia="Times New Roman" w:hAnsi="Arial" w:cs="Arial"/>
          <w:b/>
          <w:sz w:val="20"/>
          <w:szCs w:val="20"/>
          <w:u w:val="single"/>
          <w:lang w:eastAsia="es-ES"/>
        </w:rPr>
        <w:t>ANTECEDENTES</w:t>
      </w:r>
      <w:r w:rsidRPr="00FC6548">
        <w:rPr>
          <w:rFonts w:ascii="Arial" w:eastAsia="Times New Roman" w:hAnsi="Arial" w:cs="Arial"/>
          <w:sz w:val="20"/>
          <w:szCs w:val="20"/>
          <w:lang w:eastAsia="es-ES"/>
        </w:rPr>
        <w:t xml:space="preserve">.  Que mediante nota Referencia DE/UJDCA-597-18, de fecha 12  de noviembre del corriente año, enviada por el licenciado Gustavo Edilio Ramos Adguiar, Colaborador Jurídico de la Oficina de Planificación del Área Metropolitana de San Salvador, sus siglas OPAMSS, notifica que para los efectos legales del artículo 88 </w:t>
      </w:r>
      <w:r w:rsidRPr="00FC6548">
        <w:rPr>
          <w:rFonts w:ascii="Arial" w:eastAsia="Times New Roman" w:hAnsi="Arial" w:cs="Arial"/>
          <w:color w:val="222222"/>
          <w:sz w:val="20"/>
          <w:szCs w:val="20"/>
          <w:lang w:eastAsia="es-SV"/>
        </w:rPr>
        <w:t xml:space="preserve">Ley de Desarrollo y Ordenamiento Territorial del Área Metropolitana de San  Salvador y de los municipios Aledaños que el día 12 de noviembre de los corrientes, la Unidad de monitoreo de dicha oficina levanto Acta de inspección N° 1, correlativo 0597/2018, en el inmueble ubicado en Conacaste, jurisdicción de Nejapa, departamento de San Salvador, propiedad de Salazar Romero, S.A. DE C.V., y se observa viviendas habitadas sin haber realizado el proceso de Recepción de Obras de Construcción y se encuentra pendiente finalizar el trámite de Modificación al Permiso de Parcelación, por el cambio de configuración del acceso de  la porción 2 de la Urbanización. </w:t>
      </w:r>
      <w:r w:rsidRPr="00FC6548">
        <w:rPr>
          <w:rFonts w:ascii="Arial" w:eastAsia="Calibri" w:hAnsi="Arial" w:cs="Arial"/>
          <w:b/>
          <w:sz w:val="20"/>
          <w:szCs w:val="20"/>
        </w:rPr>
        <w:t xml:space="preserve">II. </w:t>
      </w:r>
      <w:r w:rsidRPr="00FC6548">
        <w:rPr>
          <w:rFonts w:ascii="Arial" w:eastAsia="Calibri" w:hAnsi="Arial" w:cs="Arial"/>
          <w:sz w:val="20"/>
          <w:szCs w:val="20"/>
        </w:rPr>
        <w:t>Que mediante informe enviado por el ingeniero Irwin Batres Avalos, jefe de la Unidad Ejecutora de Obras Civiles, y la ingeniera Marta Celina Perla, jefa de la Unidad Ambiental, de esta municipalidad, de fecha 14 de noviembre del corriente año, este manifiesta: “</w:t>
      </w:r>
      <w:r w:rsidRPr="00FC6548">
        <w:rPr>
          <w:rFonts w:ascii="Arial" w:eastAsia="Calibri" w:hAnsi="Arial" w:cs="Arial"/>
          <w:i/>
          <w:sz w:val="20"/>
          <w:szCs w:val="20"/>
        </w:rPr>
        <w:t xml:space="preserve">En inspección realizada el día miércoles 7 de noviembre a la Residencial San Antonio, propiedad de Salazar Romero, en conjunto con técnico de OPAMSS, la Ing. Celina Perla de la Unidad Ambiental </w:t>
      </w:r>
      <w:r w:rsidRPr="00FC6548">
        <w:rPr>
          <w:rFonts w:ascii="Arial" w:eastAsia="Calibri" w:hAnsi="Arial" w:cs="Arial"/>
          <w:i/>
          <w:sz w:val="20"/>
          <w:szCs w:val="20"/>
        </w:rPr>
        <w:lastRenderedPageBreak/>
        <w:t xml:space="preserve">y la Arq. Leslie Isassi de la UEOC, se verifico lo siguiente: </w:t>
      </w:r>
      <w:r w:rsidRPr="00FC6548">
        <w:rPr>
          <w:rFonts w:ascii="Arial" w:eastAsia="Calibri" w:hAnsi="Arial" w:cs="Arial"/>
          <w:b/>
          <w:i/>
          <w:sz w:val="20"/>
          <w:szCs w:val="20"/>
        </w:rPr>
        <w:t>1)</w:t>
      </w:r>
      <w:r w:rsidRPr="00FC6548">
        <w:rPr>
          <w:rFonts w:ascii="Arial" w:eastAsia="Calibri" w:hAnsi="Arial" w:cs="Arial"/>
          <w:i/>
          <w:sz w:val="20"/>
          <w:szCs w:val="20"/>
        </w:rPr>
        <w:t xml:space="preserve"> Que la Planta de tratamiento en donde se conectaran las aguas negras de las 3 porciones de la Residencial está en proceso constructivo. Ing. Perla detallo en bitácora del proyecto que deberá realizar el trámite de conexión de planta de tratamiento en la Municipalidad. </w:t>
      </w:r>
      <w:r w:rsidRPr="00FC6548">
        <w:rPr>
          <w:rFonts w:ascii="Arial" w:eastAsia="Calibri" w:hAnsi="Arial" w:cs="Arial"/>
          <w:b/>
          <w:i/>
          <w:sz w:val="20"/>
          <w:szCs w:val="20"/>
        </w:rPr>
        <w:t>2)</w:t>
      </w:r>
      <w:r w:rsidRPr="00FC6548">
        <w:rPr>
          <w:rFonts w:ascii="Arial" w:eastAsia="Calibri" w:hAnsi="Arial" w:cs="Arial"/>
          <w:i/>
          <w:sz w:val="20"/>
          <w:szCs w:val="20"/>
        </w:rPr>
        <w:t xml:space="preserve"> </w:t>
      </w:r>
      <w:r w:rsidRPr="00FC6548">
        <w:rPr>
          <w:rFonts w:ascii="Arial" w:eastAsia="Times New Roman" w:hAnsi="Arial" w:cs="Arial"/>
          <w:b/>
          <w:i/>
          <w:sz w:val="20"/>
          <w:szCs w:val="20"/>
          <w:u w:val="single"/>
          <w:lang w:eastAsia="es-ES"/>
        </w:rPr>
        <w:t xml:space="preserve">En la porción 2 que ya está finalizada se logró verificar que varias de las viviendas están siendo habitadas y estas no cuentan con el permiso de recepción de obras de OPAMSS ni el permiso de habitar de la Municipalidad, </w:t>
      </w:r>
      <w:r w:rsidRPr="00FC6548">
        <w:rPr>
          <w:rFonts w:ascii="Arial" w:eastAsia="Times New Roman" w:hAnsi="Arial" w:cs="Arial"/>
          <w:i/>
          <w:sz w:val="20"/>
          <w:szCs w:val="20"/>
          <w:lang w:eastAsia="es-ES"/>
        </w:rPr>
        <w:t xml:space="preserve">según comentó el Residente de la obra, el Ing. Alarcón, el agua potable está siendo abastecida por medio del tanque ubicado en dicha porción y para las aguas negras poseen una fosa séptica provisional, sin embargo no hay ninguna gestión en OPAMSS por parte de Salazar Romero para la recepción de obras. </w:t>
      </w:r>
      <w:r w:rsidRPr="00FC6548">
        <w:rPr>
          <w:rFonts w:ascii="Arial" w:eastAsia="Calibri" w:hAnsi="Arial" w:cs="Arial"/>
          <w:b/>
          <w:i/>
          <w:sz w:val="20"/>
          <w:szCs w:val="20"/>
        </w:rPr>
        <w:t>3)</w:t>
      </w:r>
      <w:r w:rsidRPr="00FC6548">
        <w:rPr>
          <w:rFonts w:ascii="Arial" w:eastAsia="Times New Roman" w:hAnsi="Arial" w:cs="Arial"/>
          <w:i/>
          <w:sz w:val="20"/>
          <w:szCs w:val="20"/>
          <w:lang w:eastAsia="es-ES"/>
        </w:rPr>
        <w:t xml:space="preserve"> </w:t>
      </w:r>
      <w:r w:rsidRPr="00FC6548">
        <w:rPr>
          <w:rFonts w:ascii="Arial" w:eastAsia="Calibri" w:hAnsi="Arial" w:cs="Arial"/>
          <w:i/>
          <w:sz w:val="20"/>
          <w:szCs w:val="20"/>
        </w:rPr>
        <w:t>El día lunes 12 de noviembre conjunto con técnico de OPAMSS se entregó a Salazar Romero acta de monitoreo, en donde se le hace ver que debe de tramitar permiso de recepción de obras para las viviendas habitadas y acercarse a la Municipalidad para tratar el tema.</w:t>
      </w:r>
      <w:r w:rsidRPr="00FC6548">
        <w:rPr>
          <w:rFonts w:ascii="Arial" w:eastAsia="Calibri" w:hAnsi="Arial" w:cs="Arial"/>
          <w:b/>
          <w:i/>
          <w:sz w:val="20"/>
          <w:szCs w:val="20"/>
        </w:rPr>
        <w:t>4)</w:t>
      </w:r>
      <w:r w:rsidRPr="00FC6548">
        <w:rPr>
          <w:rFonts w:ascii="Arial" w:eastAsia="Calibri" w:hAnsi="Arial" w:cs="Arial"/>
          <w:i/>
          <w:sz w:val="20"/>
          <w:szCs w:val="20"/>
        </w:rPr>
        <w:t xml:space="preserve"> Este mismo día, Salazar Romero ha presentado a la Municipalidad solicitud de conexión de aguas negras al sistema existente de la Alcaldía para 17 viviendas, también ha presentado solicitud de permiso de habitar para 126 viviendas ubicadas en porción 2 en donde el área de construcción es de 10,351.92 y el monto de la construcción es de $779,663.9. </w:t>
      </w:r>
      <w:r w:rsidRPr="00FC6548">
        <w:rPr>
          <w:rFonts w:ascii="Arial" w:eastAsia="Calibri" w:hAnsi="Arial" w:cs="Arial"/>
          <w:i/>
          <w:sz w:val="20"/>
          <w:szCs w:val="20"/>
          <w:u w:val="single"/>
        </w:rPr>
        <w:t>Por lo tanto</w:t>
      </w:r>
      <w:r w:rsidRPr="00FC6548">
        <w:rPr>
          <w:rFonts w:ascii="Arial" w:eastAsia="Calibri" w:hAnsi="Arial" w:cs="Arial"/>
          <w:i/>
          <w:sz w:val="20"/>
          <w:szCs w:val="20"/>
        </w:rPr>
        <w:t xml:space="preserve">: </w:t>
      </w:r>
      <w:r w:rsidRPr="00FC6548">
        <w:rPr>
          <w:rFonts w:ascii="Arial" w:eastAsia="Calibri" w:hAnsi="Arial" w:cs="Arial"/>
          <w:b/>
          <w:i/>
          <w:sz w:val="20"/>
          <w:szCs w:val="20"/>
        </w:rPr>
        <w:t>Para la conexión de planta de tratamiento deberá de ir a la Unidad de Salud a tramitar la recepción de dicha planta, teniendo el visto bueno de la entidad se procede a otorgar el permiso de la conexión en la Alcaldía. Se deberá establecer la multa correspondiente por las casas habitadas  y se deberá realizar recepción de obras parcial en OPAMSS para poder otorgar permiso de habitar en la Municipalidad</w:t>
      </w:r>
      <w:r w:rsidRPr="00FC6548">
        <w:rPr>
          <w:rFonts w:ascii="Arial" w:eastAsia="Calibri" w:hAnsi="Arial" w:cs="Arial"/>
          <w:sz w:val="20"/>
          <w:szCs w:val="20"/>
        </w:rPr>
        <w:t xml:space="preserve">. </w:t>
      </w:r>
      <w:r w:rsidRPr="00FC6548">
        <w:rPr>
          <w:rFonts w:ascii="Arial" w:eastAsia="Calibri" w:hAnsi="Arial" w:cs="Arial"/>
          <w:b/>
          <w:sz w:val="20"/>
          <w:szCs w:val="20"/>
        </w:rPr>
        <w:t xml:space="preserve">III. </w:t>
      </w:r>
      <w:r w:rsidRPr="00FC6548">
        <w:rPr>
          <w:rFonts w:ascii="Arial" w:eastAsia="Calibri" w:hAnsi="Arial" w:cs="Arial"/>
          <w:sz w:val="20"/>
          <w:szCs w:val="20"/>
        </w:rPr>
        <w:t xml:space="preserve">Que mediante nota de fecha 12 de los corrientes, presentada por el ingeniero Ronald Polanco, Director de Proyectos de la sociedad Salazar Romero, S.A. DE C.V., manifiesta que: “Solicita </w:t>
      </w:r>
      <w:r w:rsidRPr="00FC6548">
        <w:rPr>
          <w:rFonts w:ascii="Arial" w:eastAsia="Calibri" w:hAnsi="Arial" w:cs="Arial"/>
          <w:b/>
          <w:sz w:val="20"/>
          <w:szCs w:val="20"/>
        </w:rPr>
        <w:t>Permiso de Conexión de Aguas Negras al Sistema existente propiedad de la Alcaldía Municipal de Nejapa,</w:t>
      </w:r>
      <w:r w:rsidRPr="00FC6548">
        <w:rPr>
          <w:rFonts w:ascii="Arial" w:eastAsia="Calibri" w:hAnsi="Arial" w:cs="Arial"/>
          <w:sz w:val="20"/>
          <w:szCs w:val="20"/>
        </w:rPr>
        <w:t xml:space="preserve"> para las 17 viviendas de Residencial San Antonio porción 2, ubicadas sobre kilómetro 21 de calle SAL37N By Pass, de San Salvador hacia Quezaltepeque.” Adjunta detalle. </w:t>
      </w:r>
      <w:r w:rsidRPr="00FC6548">
        <w:rPr>
          <w:rFonts w:ascii="Arial" w:eastAsia="Calibri" w:hAnsi="Arial" w:cs="Arial"/>
          <w:b/>
          <w:sz w:val="20"/>
          <w:szCs w:val="20"/>
        </w:rPr>
        <w:t xml:space="preserve">IV. </w:t>
      </w:r>
      <w:r w:rsidRPr="00FC6548">
        <w:rPr>
          <w:rFonts w:ascii="Arial" w:eastAsia="Calibri" w:hAnsi="Arial" w:cs="Arial"/>
          <w:sz w:val="20"/>
          <w:szCs w:val="20"/>
        </w:rPr>
        <w:t xml:space="preserve">Que mediante nota de fecha 12 de los corrientes, presentada por el ingeniero Ronald Polanco, Director de Proyectos de la sociedad Salazar Romero, S.A. DE C.V., manifiesta que: “Solicita </w:t>
      </w:r>
      <w:r w:rsidRPr="00FC6548">
        <w:rPr>
          <w:rFonts w:ascii="Arial" w:eastAsia="Calibri" w:hAnsi="Arial" w:cs="Arial"/>
          <w:b/>
          <w:sz w:val="20"/>
          <w:szCs w:val="20"/>
        </w:rPr>
        <w:t xml:space="preserve">Permiso de Habitar para 126 viviendas de </w:t>
      </w:r>
      <w:r w:rsidRPr="00FC6548">
        <w:rPr>
          <w:rFonts w:ascii="Arial" w:eastAsia="Calibri" w:hAnsi="Arial" w:cs="Arial"/>
          <w:sz w:val="20"/>
          <w:szCs w:val="20"/>
        </w:rPr>
        <w:t xml:space="preserve">Residencial San Antonio porción Dos, ubicadas sobre kilómetro 21 de calle SAL37N By Pass, de San Salvador hacia Quezaltepeque. El área de construcción es de 10,351.92 m2.” Adjunta detalle de costos de construcción de las viviendas y planos de ubicación de los mismos. </w:t>
      </w:r>
      <w:r w:rsidRPr="00FC6548">
        <w:rPr>
          <w:rFonts w:ascii="Arial" w:eastAsia="Calibri" w:hAnsi="Arial" w:cs="Arial"/>
          <w:b/>
          <w:sz w:val="20"/>
          <w:szCs w:val="20"/>
          <w:lang w:eastAsia="es-SV"/>
        </w:rPr>
        <w:t xml:space="preserve">V. </w:t>
      </w:r>
      <w:r w:rsidRPr="00FC6548">
        <w:rPr>
          <w:rFonts w:ascii="Arial" w:eastAsia="Calibri" w:hAnsi="Arial" w:cs="Arial"/>
          <w:sz w:val="20"/>
          <w:szCs w:val="20"/>
          <w:lang w:eastAsia="es-SV"/>
        </w:rPr>
        <w:t>Que mediante Permiso de Parcelación número 000-2015, otorgado por OPAMSS, para el proyecto “residencial San Antonio”,  en el numeral 16 y 17 se estableció lo siguiente: “</w:t>
      </w:r>
      <w:r w:rsidRPr="00FC6548">
        <w:rPr>
          <w:rFonts w:ascii="Arial" w:eastAsia="Calibri" w:hAnsi="Arial" w:cs="Arial"/>
          <w:i/>
          <w:sz w:val="20"/>
          <w:szCs w:val="20"/>
          <w:lang w:eastAsia="es-SV"/>
        </w:rPr>
        <w:t xml:space="preserve">16. Las actividades de operación, limpieza y mantenimiento del Sistema de abastecimiento de agua potable, de la Planta de Tratamiento de Aguas Negras y de los sistemas de detención de Aguas Lluvias serán responsabilidad del propietario del proyecto Salazar Romero, S.A. DE C.V., hasta el momento en que se entreguen al municipio en el marco de las ordenanzas municipales.17. El sistema de tratamiento de aguas negras deberá de cumplir con lo reglamentado por el Ministerio de Salud Pública y Asistencia Social y por el Ministerio de Medio Ambiente y Recursos Naturales (conforme Reglamento Especial de Aguas Residuales, </w:t>
      </w:r>
      <w:r w:rsidRPr="00FC6548">
        <w:rPr>
          <w:rFonts w:ascii="Arial" w:eastAsia="Calibri" w:hAnsi="Arial" w:cs="Arial"/>
          <w:i/>
          <w:sz w:val="20"/>
          <w:szCs w:val="20"/>
          <w:lang w:eastAsia="es-SV"/>
        </w:rPr>
        <w:lastRenderedPageBreak/>
        <w:t xml:space="preserve">Decreto Ejecutivo numero 39 MARN).” </w:t>
      </w:r>
      <w:r w:rsidRPr="00FC6548">
        <w:rPr>
          <w:rFonts w:ascii="Arial" w:eastAsia="Calibri" w:hAnsi="Arial" w:cs="Arial"/>
          <w:b/>
          <w:sz w:val="20"/>
          <w:szCs w:val="20"/>
          <w:u w:val="single"/>
          <w:lang w:eastAsia="es-SV"/>
        </w:rPr>
        <w:t>LEGISLACION APLICABLE.</w:t>
      </w:r>
      <w:r w:rsidRPr="00FC6548">
        <w:rPr>
          <w:rFonts w:ascii="Arial" w:eastAsia="Calibri" w:hAnsi="Arial" w:cs="Arial"/>
          <w:b/>
          <w:sz w:val="20"/>
          <w:szCs w:val="20"/>
          <w:lang w:eastAsia="es-SV"/>
        </w:rPr>
        <w:t xml:space="preserve"> </w:t>
      </w:r>
      <w:r w:rsidRPr="00FC6548">
        <w:rPr>
          <w:rFonts w:ascii="Arial" w:eastAsia="Calibri" w:hAnsi="Arial" w:cs="Arial"/>
          <w:sz w:val="20"/>
          <w:szCs w:val="20"/>
          <w:lang w:eastAsia="es-SV"/>
        </w:rPr>
        <w:t>El</w:t>
      </w:r>
      <w:r w:rsidRPr="00FC6548">
        <w:rPr>
          <w:rFonts w:ascii="Arial" w:eastAsia="Calibri" w:hAnsi="Arial" w:cs="Arial"/>
          <w:b/>
          <w:sz w:val="20"/>
          <w:szCs w:val="20"/>
          <w:lang w:eastAsia="es-SV"/>
        </w:rPr>
        <w:t xml:space="preserve"> </w:t>
      </w:r>
      <w:r w:rsidRPr="00FC6548">
        <w:rPr>
          <w:rFonts w:ascii="Arial" w:eastAsia="Calibri" w:hAnsi="Arial" w:cs="Arial"/>
          <w:sz w:val="20"/>
          <w:szCs w:val="20"/>
        </w:rPr>
        <w:t>Artículo 84 de la Ley de Desarrollo y Ordenamiento Territorial del Área Metropolitana de San Salvador y de los Municipio Aledaños, establece que: “</w:t>
      </w:r>
      <w:r w:rsidRPr="00FC6548">
        <w:rPr>
          <w:rFonts w:ascii="Arial" w:eastAsia="Calibri" w:hAnsi="Arial" w:cs="Arial"/>
          <w:i/>
          <w:sz w:val="20"/>
          <w:szCs w:val="20"/>
        </w:rPr>
        <w:t xml:space="preserve">De todo incumplimiento o transgresión en una obra, la OPAMSS deberá comunicarlo al Alcalde Municipal o funcionario delegado de la localidad donde se cometiere la infracción, para los efectos señalados en el artículo 88 de la presente ley.”  Artículo 88 de la Ley de Desarrollo y Ordenamiento Territorial del Área Metropolitana de San Salvador y de los Municipio Aledaños, establece que: “La autoridad competente para sancionar, previo el juicio administrativo correspondiente será el Alcalde Municipal o Funcionario delegado de la localidad, donde se cometiere la infracción según lo establece el Código Municipal en el art. 131. Cuando el Alcalde o funcionario delegado tuviere conocimiento por notificación de la OPAMSS, que una persona, natural o jurídica, ha cometido infracción a la presente ley, dentro de su ámbito Municipal, iniciará el procedimiento, y solicitará a la OPAMSS las pruebas que se consideren necesarias…”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w:t>
      </w:r>
      <w:r w:rsidRPr="00FC6548">
        <w:rPr>
          <w:rFonts w:ascii="Arial" w:eastAsia="Calibri" w:hAnsi="Arial" w:cs="Arial"/>
          <w:sz w:val="20"/>
          <w:szCs w:val="20"/>
        </w:rPr>
        <w:t xml:space="preserve">Que el artículo VIII. 30. Solicitud de Recepción, del Reglamento de la </w:t>
      </w:r>
      <w:r w:rsidRPr="00FC6548">
        <w:rPr>
          <w:rFonts w:ascii="Arial" w:eastAsia="Calibri" w:hAnsi="Arial" w:cs="Arial"/>
          <w:i/>
          <w:sz w:val="20"/>
          <w:szCs w:val="20"/>
        </w:rPr>
        <w:t xml:space="preserve">Ley de Desarrollo y </w:t>
      </w:r>
      <w:r w:rsidRPr="00FC6548">
        <w:rPr>
          <w:rFonts w:ascii="Arial" w:eastAsia="Calibri" w:hAnsi="Arial" w:cs="Arial"/>
          <w:sz w:val="20"/>
          <w:szCs w:val="20"/>
        </w:rPr>
        <w:t>Ordenamiento Territorial del Área Metropolitana de San Salvador y de los Municipio Aledaños, establece</w:t>
      </w:r>
      <w:r w:rsidRPr="00FC6548">
        <w:rPr>
          <w:rFonts w:ascii="Arial" w:eastAsia="Calibri" w:hAnsi="Arial" w:cs="Arial"/>
          <w:i/>
          <w:sz w:val="20"/>
          <w:szCs w:val="20"/>
        </w:rPr>
        <w:t xml:space="preserve"> </w:t>
      </w:r>
      <w:r w:rsidRPr="00FC6548">
        <w:rPr>
          <w:rFonts w:ascii="Arial" w:eastAsia="Calibri" w:hAnsi="Arial" w:cs="Arial"/>
          <w:sz w:val="20"/>
          <w:szCs w:val="20"/>
        </w:rPr>
        <w:t>que: “</w:t>
      </w:r>
      <w:r w:rsidRPr="00FC6548">
        <w:rPr>
          <w:rFonts w:ascii="Arial" w:eastAsia="Calibri" w:hAnsi="Arial" w:cs="Arial"/>
          <w:i/>
          <w:sz w:val="20"/>
          <w:szCs w:val="20"/>
        </w:rPr>
        <w:t>A la finalización de la obra y previo a la escrituración de todo tipo de parcelación, sub-parcelación o construcción, será obligatorio solicitar la Recepción Final de las obras de urbanización y/o construcción…</w:t>
      </w:r>
      <w:r w:rsidRPr="00FC6548">
        <w:rPr>
          <w:rFonts w:ascii="Arial" w:eastAsia="Calibri" w:hAnsi="Arial" w:cs="Arial"/>
          <w:sz w:val="20"/>
          <w:szCs w:val="20"/>
        </w:rPr>
        <w:t xml:space="preserve">” Que el artículo VIII. 31. Recepción Parcial, del Reglamento de la </w:t>
      </w:r>
      <w:r w:rsidRPr="00FC6548">
        <w:rPr>
          <w:rFonts w:ascii="Arial" w:eastAsia="Calibri" w:hAnsi="Arial" w:cs="Arial"/>
          <w:i/>
          <w:sz w:val="20"/>
          <w:szCs w:val="20"/>
        </w:rPr>
        <w:t xml:space="preserve">Ley de Desarrollo y </w:t>
      </w:r>
      <w:r w:rsidRPr="00FC6548">
        <w:rPr>
          <w:rFonts w:ascii="Arial" w:eastAsia="Calibri" w:hAnsi="Arial" w:cs="Arial"/>
          <w:sz w:val="20"/>
          <w:szCs w:val="20"/>
        </w:rPr>
        <w:t xml:space="preserve">Ordenamiento Territorial del Área Metropolitana de San Salvador y de los Municipio Aledaños, establece </w:t>
      </w:r>
      <w:r w:rsidRPr="00FC6548">
        <w:rPr>
          <w:rFonts w:ascii="Arial" w:eastAsia="Calibri" w:hAnsi="Arial" w:cs="Arial"/>
          <w:i/>
          <w:sz w:val="20"/>
          <w:szCs w:val="20"/>
        </w:rPr>
        <w:t xml:space="preserve"> </w:t>
      </w:r>
      <w:r w:rsidRPr="00FC6548">
        <w:rPr>
          <w:rFonts w:ascii="Arial" w:eastAsia="Calibri" w:hAnsi="Arial" w:cs="Arial"/>
          <w:sz w:val="20"/>
          <w:szCs w:val="20"/>
        </w:rPr>
        <w:t>que: “</w:t>
      </w:r>
      <w:r w:rsidRPr="00FC6548">
        <w:rPr>
          <w:rFonts w:ascii="Arial" w:eastAsia="Calibri" w:hAnsi="Arial" w:cs="Arial"/>
          <w:i/>
          <w:sz w:val="20"/>
          <w:szCs w:val="20"/>
        </w:rPr>
        <w:t>El interesado podrá solicitar que las obras de urbanización y/o construcción sean recibidas por etapas, dejando el 10% del total de lotes, unidades habitacionales y/o apartamentos para recepción final, cuando la urbanización sea mayor o igual a 200 unidades y el 20% cuando sea menor de 200 unidades. Siempre que la parcelación resultante se encuentre provista de todas sus instalaciones y servicios, pudiéndose considerar como una unidad en sí. La recepción de cada etapa deberá sujetarse a lo establecido en el Art. VIII. 30 del presente Capítulo, pudiendo en este caso presentar fotocopia de la bitácora, quedando obligado el interesado a solicitar la Recepción final de la urbanización, cuando ésta haya sido concluida; previo a la entrega y recepción parcial del 75%, del total del proyecto, el área verde y de equipamiento social respectivamente, deberán estar provistas con el equipamiento y la infraestructura establecidas en el presente reglamento. De no hacerlo así le serán aplicadas las sanciones a que se refiere el Art. VIII. 28 de este reglamento</w:t>
      </w:r>
      <w:r w:rsidRPr="00FC6548">
        <w:rPr>
          <w:rFonts w:ascii="Arial" w:eastAsia="Calibri" w:hAnsi="Arial" w:cs="Arial"/>
          <w:sz w:val="20"/>
          <w:szCs w:val="20"/>
        </w:rPr>
        <w:t xml:space="preserve">…” Que el artículo VIII.28. Sanciones, del Reglamento de la </w:t>
      </w:r>
      <w:r w:rsidRPr="00FC6548">
        <w:rPr>
          <w:rFonts w:ascii="Arial" w:eastAsia="Calibri" w:hAnsi="Arial" w:cs="Arial"/>
          <w:i/>
          <w:sz w:val="20"/>
          <w:szCs w:val="20"/>
        </w:rPr>
        <w:t xml:space="preserve">Ley de </w:t>
      </w:r>
      <w:r w:rsidRPr="00FC6548">
        <w:rPr>
          <w:rFonts w:ascii="Arial" w:eastAsia="Calibri" w:hAnsi="Arial" w:cs="Arial"/>
          <w:i/>
          <w:sz w:val="20"/>
          <w:szCs w:val="20"/>
        </w:rPr>
        <w:lastRenderedPageBreak/>
        <w:t xml:space="preserve">Desarrollo y </w:t>
      </w:r>
      <w:r w:rsidRPr="00FC6548">
        <w:rPr>
          <w:rFonts w:ascii="Arial" w:eastAsia="Calibri" w:hAnsi="Arial" w:cs="Arial"/>
          <w:sz w:val="20"/>
          <w:szCs w:val="20"/>
        </w:rPr>
        <w:t xml:space="preserve">Ordenamiento Territorial del Área Metropolitana de San Salvador y de los Municipio Aledaños, establece </w:t>
      </w:r>
      <w:r w:rsidRPr="00FC6548">
        <w:rPr>
          <w:rFonts w:ascii="Arial" w:eastAsia="Calibri" w:hAnsi="Arial" w:cs="Arial"/>
          <w:i/>
          <w:sz w:val="20"/>
          <w:szCs w:val="20"/>
        </w:rPr>
        <w:t xml:space="preserve"> </w:t>
      </w:r>
      <w:r w:rsidRPr="00FC6548">
        <w:rPr>
          <w:rFonts w:ascii="Arial" w:eastAsia="Calibri" w:hAnsi="Arial" w:cs="Arial"/>
          <w:sz w:val="20"/>
          <w:szCs w:val="20"/>
        </w:rPr>
        <w:t>que: “</w:t>
      </w:r>
      <w:r w:rsidRPr="00FC6548">
        <w:rPr>
          <w:rFonts w:ascii="Arial" w:eastAsia="Calibri" w:hAnsi="Arial" w:cs="Arial"/>
          <w:i/>
          <w:sz w:val="20"/>
          <w:szCs w:val="20"/>
        </w:rPr>
        <w:t>En caso de incumplimiento por parte del constructor, de cualquiera de las disposiciones de este Reglamento y en cualquier etapa de construcción de las obras, será sancionado conforme a lo dispuesto en la parte novena del presente Reglamento</w:t>
      </w:r>
      <w:r w:rsidRPr="00FC6548">
        <w:rPr>
          <w:rFonts w:ascii="Arial" w:eastAsia="Calibri" w:hAnsi="Arial" w:cs="Arial"/>
          <w:sz w:val="20"/>
          <w:szCs w:val="20"/>
        </w:rPr>
        <w:t xml:space="preserve">.” Articulo VIII. 33. Permiso de Habitar, del Reglamento de la </w:t>
      </w:r>
      <w:r w:rsidRPr="00FC6548">
        <w:rPr>
          <w:rFonts w:ascii="Arial" w:eastAsia="Calibri" w:hAnsi="Arial" w:cs="Arial"/>
          <w:i/>
          <w:sz w:val="20"/>
          <w:szCs w:val="20"/>
        </w:rPr>
        <w:t xml:space="preserve">Ley de Desarrollo y </w:t>
      </w:r>
      <w:r w:rsidRPr="00FC6548">
        <w:rPr>
          <w:rFonts w:ascii="Arial" w:eastAsia="Calibri" w:hAnsi="Arial" w:cs="Arial"/>
          <w:sz w:val="20"/>
          <w:szCs w:val="20"/>
        </w:rPr>
        <w:t>Ordenamiento Territorial del Área Metropolitana de San Salvador y de los Municipio Aledaños, establece</w:t>
      </w:r>
      <w:r w:rsidRPr="00FC6548">
        <w:rPr>
          <w:rFonts w:ascii="Arial" w:eastAsia="Calibri" w:hAnsi="Arial" w:cs="Arial"/>
          <w:i/>
          <w:sz w:val="20"/>
          <w:szCs w:val="20"/>
        </w:rPr>
        <w:t xml:space="preserve"> </w:t>
      </w:r>
      <w:r w:rsidRPr="00FC6548">
        <w:rPr>
          <w:rFonts w:ascii="Arial" w:eastAsia="Calibri" w:hAnsi="Arial" w:cs="Arial"/>
          <w:sz w:val="20"/>
          <w:szCs w:val="20"/>
        </w:rPr>
        <w:t>que: “</w:t>
      </w:r>
      <w:r w:rsidRPr="00FC6548">
        <w:rPr>
          <w:rFonts w:ascii="Arial" w:eastAsia="Calibri" w:hAnsi="Arial" w:cs="Arial"/>
          <w:i/>
          <w:sz w:val="20"/>
          <w:szCs w:val="20"/>
        </w:rPr>
        <w:t>Las edificaciones de cualquier tipo que se construyeren, ampliaren, adaptaren, modificaren o reconstruyeren, en todo o en parte, no podrán usarse y ocuparse sin el permiso previo de habitar expedido por la municipalidad correspondiente, en el que se hará constar el uso que podrá darse a las mismas</w:t>
      </w:r>
      <w:r w:rsidRPr="00FC6548">
        <w:rPr>
          <w:rFonts w:ascii="Arial" w:eastAsia="Calibri" w:hAnsi="Arial" w:cs="Arial"/>
          <w:sz w:val="20"/>
          <w:szCs w:val="20"/>
        </w:rPr>
        <w:t xml:space="preserve">.” </w:t>
      </w:r>
      <w:r w:rsidRPr="00FC6548">
        <w:rPr>
          <w:rFonts w:ascii="Arial" w:eastAsia="Calibri" w:hAnsi="Arial" w:cs="Arial"/>
          <w:b/>
          <w:sz w:val="20"/>
          <w:szCs w:val="20"/>
          <w:u w:val="single"/>
        </w:rPr>
        <w:t>RECOMENDABLE.</w:t>
      </w:r>
      <w:r w:rsidRPr="00FC6548">
        <w:rPr>
          <w:rFonts w:ascii="Arial" w:eastAsia="Calibri" w:hAnsi="Arial" w:cs="Arial"/>
          <w:b/>
          <w:sz w:val="20"/>
          <w:szCs w:val="20"/>
        </w:rPr>
        <w:t xml:space="preserve">  </w:t>
      </w:r>
      <w:r w:rsidRPr="00FC6548">
        <w:rPr>
          <w:rFonts w:ascii="Arial" w:eastAsia="Calibri" w:hAnsi="Arial" w:cs="Arial"/>
          <w:sz w:val="20"/>
          <w:szCs w:val="20"/>
        </w:rPr>
        <w:t xml:space="preserve">De la lectura de la documentación relacionada, así como de la legislación aplicable, se concluye que: a) El inmueble al que se hace referencia en el presente dictamen, es el que se encuentra ubicado en el proyecto </w:t>
      </w:r>
      <w:r w:rsidRPr="00FC6548">
        <w:rPr>
          <w:rFonts w:ascii="Arial" w:eastAsia="Calibri" w:hAnsi="Arial" w:cs="Arial"/>
          <w:b/>
          <w:sz w:val="20"/>
          <w:szCs w:val="20"/>
        </w:rPr>
        <w:t>denominado “Residencial San Antonio</w:t>
      </w:r>
      <w:r w:rsidRPr="00FC6548">
        <w:rPr>
          <w:rFonts w:ascii="Arial" w:eastAsia="Calibri" w:hAnsi="Arial" w:cs="Arial"/>
          <w:sz w:val="20"/>
          <w:szCs w:val="20"/>
        </w:rPr>
        <w:t xml:space="preserve">”, propiedad de la sociedad Salazar Romero, S.A. DE C.V., </w:t>
      </w:r>
      <w:r w:rsidRPr="00FC6548">
        <w:rPr>
          <w:rFonts w:ascii="Arial" w:eastAsia="Calibri" w:hAnsi="Arial" w:cs="Arial"/>
          <w:b/>
          <w:sz w:val="20"/>
          <w:szCs w:val="20"/>
        </w:rPr>
        <w:t xml:space="preserve">el cual se encuentra ubicado en Z4NJ1,  Autopista By-Pass SAL37N, carretera Apopa-Sitio del Niño, RN07W y calle al Cantón Conacaste, lotes S/N, de esta jurisdicción, b) </w:t>
      </w:r>
      <w:r w:rsidRPr="00FC6548">
        <w:rPr>
          <w:rFonts w:ascii="Arial" w:eastAsia="Calibri" w:hAnsi="Arial" w:cs="Arial"/>
          <w:sz w:val="20"/>
          <w:szCs w:val="20"/>
        </w:rPr>
        <w:t xml:space="preserve">Que la sociedad Salazar Romero, S.A. DE C.V., ha incumplido los artículos VIII.28, VIII. 30., VIII. 33, del Reglamento de la </w:t>
      </w:r>
      <w:r w:rsidRPr="00FC6548">
        <w:rPr>
          <w:rFonts w:ascii="Arial" w:eastAsia="Calibri" w:hAnsi="Arial" w:cs="Arial"/>
          <w:i/>
          <w:sz w:val="20"/>
          <w:szCs w:val="20"/>
        </w:rPr>
        <w:t xml:space="preserve">Ley de Desarrollo y </w:t>
      </w:r>
      <w:r w:rsidRPr="00FC6548">
        <w:rPr>
          <w:rFonts w:ascii="Arial" w:eastAsia="Calibri" w:hAnsi="Arial" w:cs="Arial"/>
          <w:sz w:val="20"/>
          <w:szCs w:val="20"/>
        </w:rPr>
        <w:t xml:space="preserve">Ordenamiento Territorial del Área Metropolitana de San Salvador, debido a que en inspección realizada por OPAMSS, y relacionada en el numeral I, al proyecto “Residencial San Antonio”, </w:t>
      </w:r>
      <w:r w:rsidRPr="00FC6548">
        <w:rPr>
          <w:rFonts w:ascii="Arial" w:eastAsia="Times New Roman" w:hAnsi="Arial" w:cs="Arial"/>
          <w:color w:val="222222"/>
          <w:sz w:val="20"/>
          <w:szCs w:val="20"/>
          <w:lang w:eastAsia="es-SV"/>
        </w:rPr>
        <w:t xml:space="preserve">se observó viviendas habitadas </w:t>
      </w:r>
      <w:r w:rsidRPr="00FC6548">
        <w:rPr>
          <w:rFonts w:ascii="Arial" w:eastAsia="Times New Roman" w:hAnsi="Arial" w:cs="Arial"/>
          <w:b/>
          <w:color w:val="222222"/>
          <w:sz w:val="20"/>
          <w:szCs w:val="20"/>
          <w:lang w:eastAsia="es-SV"/>
        </w:rPr>
        <w:t xml:space="preserve">sin haber realizado el proceso de Recepción de Obras de Construcción y además se encuentra pendiente finalizar el trámite de Modificación al Permiso de Parcelación, por el cambio de configuración del acceso de  la porción 2 de la Urbanización, c) </w:t>
      </w:r>
      <w:r w:rsidRPr="00FC6548">
        <w:rPr>
          <w:rFonts w:ascii="Arial" w:eastAsia="Calibri" w:hAnsi="Arial" w:cs="Arial"/>
          <w:sz w:val="20"/>
          <w:szCs w:val="20"/>
        </w:rPr>
        <w:t xml:space="preserve">Que según Permiso de Parcelación, otorgado al proyecto “Residencial San Antonio, por OPAMSS,  este debe contar con su Planta de Tratamiento, a la cual las viviendas que se construyan ahí se conectaran para el tratamiento de sus aguas negras, las cuales debe </w:t>
      </w:r>
      <w:r w:rsidRPr="00FC6548">
        <w:rPr>
          <w:rFonts w:ascii="Arial" w:eastAsia="Calibri" w:hAnsi="Arial" w:cs="Arial"/>
          <w:i/>
          <w:sz w:val="20"/>
          <w:szCs w:val="20"/>
        </w:rPr>
        <w:t xml:space="preserve">cumplir con lo reglamentado por el Ministerio de Salud Pública y Asistencia Social y por el Ministerio de Medio Ambiente y Recursos Naturales (conforme Reglamento Especial de Aguas Residuales, Decreto Ejecutivo numero 39 MARN), d) </w:t>
      </w:r>
      <w:r w:rsidRPr="00FC6548">
        <w:rPr>
          <w:rFonts w:ascii="Arial" w:eastAsia="Calibri" w:hAnsi="Arial" w:cs="Arial"/>
          <w:sz w:val="20"/>
          <w:szCs w:val="20"/>
        </w:rPr>
        <w:t xml:space="preserve">Que previo a otorgar la municipalidad </w:t>
      </w:r>
      <w:r w:rsidRPr="00FC6548">
        <w:rPr>
          <w:rFonts w:ascii="Arial" w:eastAsia="Calibri" w:hAnsi="Arial" w:cs="Arial"/>
          <w:b/>
          <w:sz w:val="20"/>
          <w:szCs w:val="20"/>
        </w:rPr>
        <w:t>un Permiso de Habitar</w:t>
      </w:r>
      <w:r w:rsidRPr="00FC6548">
        <w:rPr>
          <w:rFonts w:ascii="Arial" w:eastAsia="Calibri" w:hAnsi="Arial" w:cs="Arial"/>
          <w:sz w:val="20"/>
          <w:szCs w:val="20"/>
        </w:rPr>
        <w:t xml:space="preserve">, al proyecto o parte del proyecto “Residencial San Antonio”, la sociedad Salazar Romero, S.A. DE C.V., debe contar con una Recepción Parcial o Total del proyecto, de conformidad a lo establecido en el Reglamento de la </w:t>
      </w:r>
      <w:r w:rsidRPr="00FC6548">
        <w:rPr>
          <w:rFonts w:ascii="Arial" w:eastAsia="Calibri" w:hAnsi="Arial" w:cs="Arial"/>
          <w:i/>
          <w:sz w:val="20"/>
          <w:szCs w:val="20"/>
        </w:rPr>
        <w:t xml:space="preserve">Ley de Desarrollo y </w:t>
      </w:r>
      <w:r w:rsidRPr="00FC6548">
        <w:rPr>
          <w:rFonts w:ascii="Arial" w:eastAsia="Calibri" w:hAnsi="Arial" w:cs="Arial"/>
          <w:sz w:val="20"/>
          <w:szCs w:val="20"/>
        </w:rPr>
        <w:t xml:space="preserve">Ordenamiento Territorial del Área Metropolitana de San Salvador y de los Municipio Aledaños. Este Concejo Municipal habiendo escuchado el informe del Asesor Legal de este Concejo </w:t>
      </w:r>
      <w:r w:rsidRPr="00FC6548">
        <w:rPr>
          <w:rFonts w:ascii="Arial" w:eastAsia="Calibri" w:hAnsi="Arial" w:cs="Arial"/>
          <w:b/>
          <w:sz w:val="20"/>
          <w:szCs w:val="20"/>
        </w:rPr>
        <w:t>ACUERDA: a)</w:t>
      </w:r>
      <w:r w:rsidRPr="00FC6548">
        <w:rPr>
          <w:rFonts w:ascii="Arial" w:eastAsia="Calibri" w:hAnsi="Arial" w:cs="Arial"/>
          <w:sz w:val="20"/>
          <w:szCs w:val="20"/>
        </w:rPr>
        <w:t xml:space="preserve">  Autorizar el Procedimiento Administrativo Sancionatorio en contra la sociedad </w:t>
      </w:r>
      <w:r w:rsidRPr="00FC6548">
        <w:rPr>
          <w:rFonts w:ascii="Arial" w:eastAsia="Times New Roman" w:hAnsi="Arial" w:cs="Arial"/>
          <w:b/>
          <w:color w:val="222222"/>
          <w:sz w:val="20"/>
          <w:szCs w:val="20"/>
          <w:lang w:eastAsia="es-SV"/>
        </w:rPr>
        <w:t xml:space="preserve">SALAZAR ROMERO, S.A. DE C.V., </w:t>
      </w:r>
      <w:r w:rsidRPr="00FC6548">
        <w:rPr>
          <w:rFonts w:ascii="Arial" w:eastAsia="Calibri" w:hAnsi="Arial" w:cs="Arial"/>
          <w:sz w:val="20"/>
          <w:szCs w:val="20"/>
        </w:rPr>
        <w:t xml:space="preserve">por no contar el proyecto “Residencial San Antonio”, con la Recepción de Obras, emitida por OPAMSS y por no contar con el Permiso de Habitar de la municipalidad el proyecto “Residencial San Antonio.,” ubicado en Z4NJ1,  Autopista By-Pass SAL37N, carretera Apopa-Sitio del Niño, RN07W y calle al Cantón Conacaste, lotes S/N, de esta jurisdicción, </w:t>
      </w:r>
      <w:r w:rsidRPr="00FC6548">
        <w:rPr>
          <w:rFonts w:ascii="Arial" w:eastAsia="Calibri" w:hAnsi="Arial" w:cs="Arial"/>
          <w:b/>
          <w:sz w:val="20"/>
          <w:szCs w:val="20"/>
        </w:rPr>
        <w:t>b)</w:t>
      </w:r>
      <w:r w:rsidRPr="00FC6548">
        <w:rPr>
          <w:rFonts w:ascii="Arial" w:eastAsia="Calibri" w:hAnsi="Arial" w:cs="Arial"/>
          <w:sz w:val="20"/>
          <w:szCs w:val="20"/>
        </w:rPr>
        <w:t xml:space="preserve"> Delegar al señor  Alcalde Municipal para diligenciar dicho procedimiento  y a la Unidad jurídica para su sustanciación</w:t>
      </w:r>
      <w:r w:rsidRPr="00FC6548">
        <w:rPr>
          <w:rFonts w:ascii="Arial" w:eastAsia="Calibri" w:hAnsi="Arial" w:cs="Arial"/>
          <w:b/>
          <w:i/>
          <w:sz w:val="20"/>
          <w:szCs w:val="20"/>
        </w:rPr>
        <w:t xml:space="preserve">, c) </w:t>
      </w:r>
      <w:r w:rsidRPr="00FC6548">
        <w:rPr>
          <w:rFonts w:ascii="Arial" w:eastAsia="Calibri" w:hAnsi="Arial" w:cs="Arial"/>
          <w:i/>
          <w:sz w:val="20"/>
          <w:szCs w:val="20"/>
        </w:rPr>
        <w:t>Denegar el</w:t>
      </w:r>
      <w:r w:rsidRPr="00FC6548">
        <w:rPr>
          <w:rFonts w:ascii="Arial" w:eastAsia="Calibri" w:hAnsi="Arial" w:cs="Arial"/>
          <w:b/>
          <w:sz w:val="20"/>
          <w:szCs w:val="20"/>
        </w:rPr>
        <w:t xml:space="preserve"> Permiso de Conexión de Aguas Negras al Sistema </w:t>
      </w:r>
      <w:r w:rsidRPr="00FC6548">
        <w:rPr>
          <w:rFonts w:ascii="Arial" w:eastAsia="Calibri" w:hAnsi="Arial" w:cs="Arial"/>
          <w:b/>
          <w:sz w:val="20"/>
          <w:szCs w:val="20"/>
        </w:rPr>
        <w:lastRenderedPageBreak/>
        <w:t>existente propiedad de la Alcaldía Municipal de Nejapa,</w:t>
      </w:r>
      <w:r w:rsidRPr="00FC6548">
        <w:rPr>
          <w:rFonts w:ascii="Arial" w:eastAsia="Calibri" w:hAnsi="Arial" w:cs="Arial"/>
          <w:sz w:val="20"/>
          <w:szCs w:val="20"/>
        </w:rPr>
        <w:t xml:space="preserve"> para las 17 viviendas de Residencial San Antonio porción 2, ubicadas sobre kilómetro 21 de calle SAL37N By Pass, de San Salvador hacia Quezaltepeque, ya que estas de conformidad al Permiso de Parcelación otorgado por OPAMSS; debe de conectarse a la Planta de Tratamiento que el proyecto tendrá, </w:t>
      </w:r>
      <w:r w:rsidRPr="00FC6548">
        <w:rPr>
          <w:rFonts w:ascii="Arial" w:eastAsia="Calibri" w:hAnsi="Arial" w:cs="Arial"/>
          <w:b/>
          <w:sz w:val="20"/>
          <w:szCs w:val="20"/>
        </w:rPr>
        <w:t>d)</w:t>
      </w:r>
      <w:r w:rsidRPr="00FC6548">
        <w:rPr>
          <w:rFonts w:ascii="Arial" w:eastAsia="Calibri" w:hAnsi="Arial" w:cs="Arial"/>
          <w:sz w:val="20"/>
          <w:szCs w:val="20"/>
        </w:rPr>
        <w:t xml:space="preserve"> </w:t>
      </w:r>
      <w:r w:rsidRPr="00FC6548">
        <w:rPr>
          <w:rFonts w:ascii="Arial" w:eastAsia="Calibri" w:hAnsi="Arial" w:cs="Arial"/>
          <w:i/>
          <w:sz w:val="20"/>
          <w:szCs w:val="20"/>
        </w:rPr>
        <w:t>Denegar el</w:t>
      </w:r>
      <w:r w:rsidRPr="00FC6548">
        <w:rPr>
          <w:rFonts w:ascii="Arial" w:eastAsia="Calibri" w:hAnsi="Arial" w:cs="Arial"/>
          <w:b/>
          <w:sz w:val="20"/>
          <w:szCs w:val="20"/>
        </w:rPr>
        <w:t xml:space="preserve"> Permiso de Habitar para 126 viviendas de </w:t>
      </w:r>
      <w:r w:rsidRPr="00FC6548">
        <w:rPr>
          <w:rFonts w:ascii="Arial" w:eastAsia="Calibri" w:hAnsi="Arial" w:cs="Arial"/>
          <w:sz w:val="20"/>
          <w:szCs w:val="20"/>
        </w:rPr>
        <w:t>Residencial San Antonio porción Dos, ubicadas sobre kilómetro 21 de calle SAL37N By Pass, de San Salvador hacia Quezaltepeque, debido a que no cuenta con la recepción de obra, ya sea parcial o total del proyecto, emitida por OPAMSS.</w:t>
      </w:r>
      <w:r w:rsidRPr="00FC6548">
        <w:rPr>
          <w:rFonts w:ascii="Arial" w:eastAsia="Times New Roman" w:hAnsi="Arial" w:cs="Arial"/>
          <w:bCs/>
          <w:sz w:val="20"/>
          <w:szCs w:val="20"/>
          <w:lang w:eastAsia="es-ES"/>
        </w:rPr>
        <w:t xml:space="preserve"> </w:t>
      </w:r>
      <w:r w:rsidRPr="00FC6548">
        <w:rPr>
          <w:rFonts w:ascii="Arial" w:eastAsia="Times New Roman" w:hAnsi="Arial" w:cs="Arial"/>
          <w:b/>
          <w:bCs/>
          <w:sz w:val="20"/>
          <w:szCs w:val="20"/>
          <w:u w:val="single"/>
          <w:lang w:eastAsia="es-ES"/>
        </w:rPr>
        <w:t>Votación Unánime.</w:t>
      </w:r>
      <w:r w:rsidRPr="00FC6548">
        <w:rPr>
          <w:rFonts w:ascii="Arial" w:eastAsia="Times New Roman" w:hAnsi="Arial" w:cs="Arial"/>
          <w:bCs/>
          <w:sz w:val="20"/>
          <w:szCs w:val="20"/>
          <w:lang w:eastAsia="es-ES"/>
        </w:rPr>
        <w:t xml:space="preserve"> Notifíquese.””””””””””” </w:t>
      </w:r>
      <w:r w:rsidRPr="00FC6548">
        <w:rPr>
          <w:rFonts w:ascii="Arial" w:eastAsia="Times New Roman" w:hAnsi="Arial" w:cs="Arial"/>
          <w:b/>
          <w:sz w:val="20"/>
          <w:szCs w:val="20"/>
          <w:u w:val="single"/>
          <w:lang w:eastAsia="es-ES"/>
        </w:rPr>
        <w:t xml:space="preserve">En este momento el Alcalde Municipal solicita se modifique la agenda y se incorpore dos puntos más, que consisten en: la Contratación de dos auditores internos y una modificación del Acuerdo número cinco que consta en Acta uno, de fecha 01 de mayo de 2018,  la que se aprueba por unanimidad, </w:t>
      </w:r>
      <w:r w:rsidRPr="00FC6548">
        <w:rPr>
          <w:rFonts w:ascii="Arial" w:eastAsia="Times New Roman" w:hAnsi="Arial" w:cs="Arial"/>
          <w:sz w:val="20"/>
          <w:szCs w:val="20"/>
          <w:lang w:eastAsia="es-ES"/>
        </w:rPr>
        <w:t xml:space="preserve">y se toman los acuerdos siguientes: </w:t>
      </w:r>
      <w:r w:rsidRPr="00FC6548">
        <w:rPr>
          <w:rFonts w:ascii="Arial" w:eastAsia="Times New Roman" w:hAnsi="Arial" w:cs="Arial"/>
          <w:b/>
          <w:sz w:val="20"/>
          <w:szCs w:val="20"/>
          <w:lang w:eastAsia="es-ES"/>
        </w:rPr>
        <w:t xml:space="preserve">ACUERDO NUMERO CUATRO: </w:t>
      </w:r>
      <w:r w:rsidRPr="00FC6548">
        <w:rPr>
          <w:rFonts w:ascii="Arial" w:eastAsia="Times New Roman" w:hAnsi="Arial" w:cs="Arial"/>
          <w:sz w:val="20"/>
          <w:szCs w:val="20"/>
          <w:lang w:eastAsia="es-ES"/>
        </w:rPr>
        <w:t>El Concejo Municipal teniendo a la vista la Recomendación realizada por la Licenciada Flor de María Saravia de Alvarado, Auditora Interna de esta Municipalidad, el cual literalmente dice: “”</w:t>
      </w:r>
      <w:r w:rsidRPr="00FC6548">
        <w:rPr>
          <w:rFonts w:ascii="Arial" w:hAnsi="Arial" w:cs="Arial"/>
          <w:sz w:val="20"/>
          <w:szCs w:val="20"/>
          <w:lang w:eastAsia="es-ES"/>
        </w:rPr>
        <w:t>Después de revisar, analizar y evaluar  los perfiles de los participantes en el requerimiento de servicios profesionales para el área de auditoria interna, le informo sobre los perfiles seleccionados, de acuerdo a los criterios para su contratación siguientes.</w:t>
      </w:r>
    </w:p>
    <w:tbl>
      <w:tblPr>
        <w:tblStyle w:val="Tablaconcuadrcula"/>
        <w:tblpPr w:leftFromText="141" w:rightFromText="141" w:vertAnchor="text" w:horzAnchor="page" w:tblpX="1662" w:tblpY="450"/>
        <w:tblW w:w="9356" w:type="dxa"/>
        <w:tblLayout w:type="fixed"/>
        <w:tblLook w:val="04A0" w:firstRow="1" w:lastRow="0" w:firstColumn="1" w:lastColumn="0" w:noHBand="0" w:noVBand="1"/>
      </w:tblPr>
      <w:tblGrid>
        <w:gridCol w:w="1555"/>
        <w:gridCol w:w="1275"/>
        <w:gridCol w:w="1324"/>
        <w:gridCol w:w="1370"/>
        <w:gridCol w:w="1417"/>
        <w:gridCol w:w="992"/>
        <w:gridCol w:w="1423"/>
      </w:tblGrid>
      <w:tr w:rsidR="00FC6548" w:rsidRPr="00FC6548" w:rsidTr="003607CE">
        <w:trPr>
          <w:trHeight w:val="1408"/>
        </w:trPr>
        <w:tc>
          <w:tcPr>
            <w:tcW w:w="1555" w:type="dxa"/>
          </w:tcPr>
          <w:p w:rsidR="00FC6548" w:rsidRPr="00FC6548" w:rsidRDefault="00FC6548" w:rsidP="00FC6548">
            <w:pPr>
              <w:ind w:right="-15"/>
              <w:jc w:val="center"/>
              <w:rPr>
                <w:rFonts w:ascii="Arial" w:hAnsi="Arial" w:cs="Arial"/>
                <w:b/>
                <w:sz w:val="18"/>
                <w:szCs w:val="18"/>
                <w:lang w:eastAsia="es-ES"/>
              </w:rPr>
            </w:pPr>
          </w:p>
          <w:p w:rsidR="00FC6548" w:rsidRPr="00FC6548" w:rsidRDefault="00FC6548" w:rsidP="00FC6548">
            <w:pPr>
              <w:ind w:right="-15"/>
              <w:jc w:val="center"/>
              <w:rPr>
                <w:rFonts w:ascii="Arial" w:hAnsi="Arial" w:cs="Arial"/>
                <w:b/>
                <w:sz w:val="18"/>
                <w:szCs w:val="18"/>
                <w:lang w:eastAsia="es-ES"/>
              </w:rPr>
            </w:pPr>
            <w:r w:rsidRPr="00FC6548">
              <w:rPr>
                <w:rFonts w:ascii="Arial" w:hAnsi="Arial" w:cs="Arial"/>
                <w:b/>
                <w:sz w:val="18"/>
                <w:szCs w:val="18"/>
                <w:lang w:eastAsia="es-ES"/>
              </w:rPr>
              <w:t>PARTICIPANTE</w:t>
            </w:r>
          </w:p>
        </w:tc>
        <w:tc>
          <w:tcPr>
            <w:tcW w:w="1275" w:type="dxa"/>
          </w:tcPr>
          <w:p w:rsidR="00FC6548" w:rsidRPr="00FC6548" w:rsidRDefault="00FC6548" w:rsidP="00FC6548">
            <w:pPr>
              <w:ind w:right="-15"/>
              <w:jc w:val="center"/>
              <w:rPr>
                <w:rFonts w:ascii="Arial" w:hAnsi="Arial" w:cs="Arial"/>
                <w:b/>
                <w:sz w:val="18"/>
                <w:szCs w:val="18"/>
                <w:lang w:eastAsia="es-ES"/>
              </w:rPr>
            </w:pPr>
            <w:r w:rsidRPr="00FC6548">
              <w:rPr>
                <w:rFonts w:ascii="Arial" w:hAnsi="Arial" w:cs="Arial"/>
                <w:b/>
                <w:sz w:val="18"/>
                <w:szCs w:val="18"/>
                <w:lang w:eastAsia="es-ES"/>
              </w:rPr>
              <w:t>EXPERIENCIA LABORAL</w:t>
            </w:r>
          </w:p>
          <w:p w:rsidR="00FC6548" w:rsidRPr="00FC6548" w:rsidRDefault="00FC6548" w:rsidP="00FC6548">
            <w:pPr>
              <w:ind w:right="-15"/>
              <w:jc w:val="center"/>
              <w:rPr>
                <w:rFonts w:ascii="Arial" w:hAnsi="Arial" w:cs="Arial"/>
                <w:b/>
                <w:sz w:val="18"/>
                <w:szCs w:val="18"/>
                <w:lang w:eastAsia="es-ES"/>
              </w:rPr>
            </w:pPr>
            <w:r w:rsidRPr="00FC6548">
              <w:rPr>
                <w:rFonts w:ascii="Arial" w:hAnsi="Arial" w:cs="Arial"/>
                <w:b/>
                <w:sz w:val="18"/>
                <w:szCs w:val="18"/>
                <w:lang w:eastAsia="es-ES"/>
              </w:rPr>
              <w:t>(35%)</w:t>
            </w:r>
          </w:p>
          <w:p w:rsidR="00FC6548" w:rsidRPr="00FC6548" w:rsidRDefault="00FC6548" w:rsidP="00FC6548">
            <w:pPr>
              <w:ind w:right="-15"/>
              <w:jc w:val="center"/>
              <w:rPr>
                <w:rFonts w:ascii="Arial" w:hAnsi="Arial" w:cs="Arial"/>
                <w:b/>
                <w:sz w:val="18"/>
                <w:szCs w:val="18"/>
                <w:lang w:eastAsia="es-ES"/>
              </w:rPr>
            </w:pPr>
          </w:p>
        </w:tc>
        <w:tc>
          <w:tcPr>
            <w:tcW w:w="1324" w:type="dxa"/>
          </w:tcPr>
          <w:p w:rsidR="00FC6548" w:rsidRPr="00FC6548" w:rsidRDefault="00FC6548" w:rsidP="00FC6548">
            <w:pPr>
              <w:ind w:right="-15"/>
              <w:jc w:val="center"/>
              <w:rPr>
                <w:rFonts w:ascii="Arial" w:hAnsi="Arial" w:cs="Arial"/>
                <w:b/>
                <w:sz w:val="18"/>
                <w:szCs w:val="18"/>
                <w:lang w:eastAsia="es-ES"/>
              </w:rPr>
            </w:pPr>
            <w:r w:rsidRPr="00FC6548">
              <w:rPr>
                <w:rFonts w:ascii="Arial" w:hAnsi="Arial" w:cs="Arial"/>
                <w:b/>
                <w:sz w:val="18"/>
                <w:szCs w:val="18"/>
                <w:lang w:eastAsia="es-ES"/>
              </w:rPr>
              <w:t>NIVEL ACADEMICO</w:t>
            </w:r>
          </w:p>
          <w:p w:rsidR="00FC6548" w:rsidRPr="00FC6548" w:rsidRDefault="00FC6548" w:rsidP="00FC6548">
            <w:pPr>
              <w:ind w:right="-15"/>
              <w:jc w:val="center"/>
              <w:rPr>
                <w:rFonts w:ascii="Arial" w:hAnsi="Arial" w:cs="Arial"/>
                <w:b/>
                <w:sz w:val="18"/>
                <w:szCs w:val="18"/>
                <w:lang w:eastAsia="es-ES"/>
              </w:rPr>
            </w:pPr>
            <w:r w:rsidRPr="00FC6548">
              <w:rPr>
                <w:rFonts w:ascii="Arial" w:hAnsi="Arial" w:cs="Arial"/>
                <w:b/>
                <w:sz w:val="18"/>
                <w:szCs w:val="18"/>
                <w:lang w:eastAsia="es-ES"/>
              </w:rPr>
              <w:t>(35%)</w:t>
            </w:r>
          </w:p>
        </w:tc>
        <w:tc>
          <w:tcPr>
            <w:tcW w:w="1370" w:type="dxa"/>
          </w:tcPr>
          <w:p w:rsidR="00FC6548" w:rsidRPr="00FC6548" w:rsidRDefault="00FC6548" w:rsidP="00FC6548">
            <w:pPr>
              <w:ind w:right="-141"/>
              <w:rPr>
                <w:rFonts w:ascii="Arial" w:eastAsia="Times New Roman" w:hAnsi="Arial" w:cs="Arial"/>
                <w:b/>
                <w:sz w:val="18"/>
                <w:szCs w:val="18"/>
                <w:lang w:eastAsia="es-ES"/>
              </w:rPr>
            </w:pPr>
          </w:p>
          <w:p w:rsidR="00FC6548" w:rsidRPr="00FC6548" w:rsidRDefault="00FC6548" w:rsidP="00FC6548">
            <w:pPr>
              <w:ind w:right="-141"/>
              <w:jc w:val="center"/>
              <w:rPr>
                <w:rFonts w:ascii="Arial" w:eastAsia="Times New Roman" w:hAnsi="Arial" w:cs="Arial"/>
                <w:b/>
                <w:sz w:val="18"/>
                <w:szCs w:val="18"/>
                <w:lang w:eastAsia="es-ES"/>
              </w:rPr>
            </w:pPr>
            <w:r w:rsidRPr="00FC6548">
              <w:rPr>
                <w:rFonts w:ascii="Arial" w:eastAsia="Times New Roman" w:hAnsi="Arial" w:cs="Arial"/>
                <w:b/>
                <w:sz w:val="18"/>
                <w:szCs w:val="18"/>
                <w:lang w:eastAsia="es-ES"/>
              </w:rPr>
              <w:t>CONOCIMIENTOS</w:t>
            </w:r>
          </w:p>
          <w:p w:rsidR="00FC6548" w:rsidRPr="00FC6548" w:rsidRDefault="00FC6548" w:rsidP="00FC6548">
            <w:pPr>
              <w:ind w:right="-15"/>
              <w:jc w:val="center"/>
              <w:rPr>
                <w:rFonts w:ascii="Arial" w:hAnsi="Arial" w:cs="Arial"/>
                <w:b/>
                <w:sz w:val="18"/>
                <w:szCs w:val="18"/>
                <w:lang w:eastAsia="es-ES"/>
              </w:rPr>
            </w:pPr>
            <w:r w:rsidRPr="00FC6548">
              <w:rPr>
                <w:rFonts w:ascii="Arial" w:hAnsi="Arial" w:cs="Arial"/>
                <w:b/>
                <w:sz w:val="18"/>
                <w:szCs w:val="18"/>
                <w:lang w:eastAsia="es-ES"/>
              </w:rPr>
              <w:t>(20%)</w:t>
            </w:r>
          </w:p>
        </w:tc>
        <w:tc>
          <w:tcPr>
            <w:tcW w:w="1417" w:type="dxa"/>
          </w:tcPr>
          <w:p w:rsidR="00FC6548" w:rsidRPr="00FC6548" w:rsidRDefault="00FC6548" w:rsidP="00FC6548">
            <w:pPr>
              <w:ind w:right="-141"/>
              <w:jc w:val="center"/>
              <w:rPr>
                <w:rFonts w:ascii="Arial" w:eastAsia="Times New Roman" w:hAnsi="Arial" w:cs="Arial"/>
                <w:b/>
                <w:sz w:val="18"/>
                <w:szCs w:val="18"/>
                <w:lang w:eastAsia="es-ES"/>
              </w:rPr>
            </w:pPr>
          </w:p>
          <w:p w:rsidR="00FC6548" w:rsidRPr="00FC6548" w:rsidRDefault="00FC6548" w:rsidP="00FC6548">
            <w:pPr>
              <w:ind w:right="-141"/>
              <w:jc w:val="center"/>
              <w:rPr>
                <w:rFonts w:ascii="Arial" w:eastAsia="Times New Roman" w:hAnsi="Arial" w:cs="Arial"/>
                <w:b/>
                <w:sz w:val="18"/>
                <w:szCs w:val="18"/>
                <w:lang w:eastAsia="es-ES"/>
              </w:rPr>
            </w:pPr>
            <w:r w:rsidRPr="00FC6548">
              <w:rPr>
                <w:rFonts w:ascii="Arial" w:eastAsia="Times New Roman" w:hAnsi="Arial" w:cs="Arial"/>
                <w:b/>
                <w:sz w:val="18"/>
                <w:szCs w:val="18"/>
                <w:lang w:eastAsia="es-ES"/>
              </w:rPr>
              <w:t>OTROS ASPECTOS</w:t>
            </w:r>
          </w:p>
          <w:p w:rsidR="00FC6548" w:rsidRPr="00FC6548" w:rsidRDefault="00FC6548" w:rsidP="00FC6548">
            <w:pPr>
              <w:ind w:right="-15"/>
              <w:jc w:val="center"/>
              <w:rPr>
                <w:rFonts w:ascii="Arial" w:hAnsi="Arial" w:cs="Arial"/>
                <w:b/>
                <w:sz w:val="18"/>
                <w:szCs w:val="18"/>
                <w:lang w:eastAsia="es-ES"/>
              </w:rPr>
            </w:pPr>
            <w:r w:rsidRPr="00FC6548">
              <w:rPr>
                <w:rFonts w:ascii="Arial" w:hAnsi="Arial" w:cs="Arial"/>
                <w:b/>
                <w:sz w:val="18"/>
                <w:szCs w:val="18"/>
                <w:lang w:eastAsia="es-ES"/>
              </w:rPr>
              <w:t>(10%)</w:t>
            </w:r>
          </w:p>
        </w:tc>
        <w:tc>
          <w:tcPr>
            <w:tcW w:w="992" w:type="dxa"/>
          </w:tcPr>
          <w:p w:rsidR="00FC6548" w:rsidRPr="00FC6548" w:rsidRDefault="00FC6548" w:rsidP="00FC6548">
            <w:pPr>
              <w:ind w:right="-15"/>
              <w:jc w:val="center"/>
              <w:rPr>
                <w:rFonts w:ascii="Arial" w:hAnsi="Arial" w:cs="Arial"/>
                <w:b/>
                <w:sz w:val="18"/>
                <w:szCs w:val="18"/>
                <w:lang w:eastAsia="es-ES"/>
              </w:rPr>
            </w:pPr>
          </w:p>
          <w:p w:rsidR="00FC6548" w:rsidRPr="00FC6548" w:rsidRDefault="00FC6548" w:rsidP="00FC6548">
            <w:pPr>
              <w:ind w:right="-15"/>
              <w:jc w:val="center"/>
              <w:rPr>
                <w:rFonts w:ascii="Arial" w:hAnsi="Arial" w:cs="Arial"/>
                <w:b/>
                <w:sz w:val="18"/>
                <w:szCs w:val="18"/>
                <w:lang w:eastAsia="es-ES"/>
              </w:rPr>
            </w:pPr>
            <w:r w:rsidRPr="00FC6548">
              <w:rPr>
                <w:rFonts w:ascii="Arial" w:hAnsi="Arial" w:cs="Arial"/>
                <w:b/>
                <w:sz w:val="18"/>
                <w:szCs w:val="18"/>
                <w:lang w:eastAsia="es-ES"/>
              </w:rPr>
              <w:t>TOTAL</w:t>
            </w:r>
          </w:p>
        </w:tc>
        <w:tc>
          <w:tcPr>
            <w:tcW w:w="1423" w:type="dxa"/>
          </w:tcPr>
          <w:p w:rsidR="00FC6548" w:rsidRPr="00FC6548" w:rsidRDefault="00FC6548" w:rsidP="00FC6548">
            <w:pPr>
              <w:ind w:right="-15"/>
              <w:jc w:val="center"/>
              <w:rPr>
                <w:rFonts w:ascii="Arial" w:hAnsi="Arial" w:cs="Arial"/>
                <w:b/>
                <w:sz w:val="18"/>
                <w:szCs w:val="18"/>
                <w:lang w:eastAsia="es-ES"/>
              </w:rPr>
            </w:pPr>
          </w:p>
          <w:p w:rsidR="00FC6548" w:rsidRPr="00FC6548" w:rsidRDefault="00FC6548" w:rsidP="00FC6548">
            <w:pPr>
              <w:ind w:right="-15"/>
              <w:jc w:val="center"/>
              <w:rPr>
                <w:rFonts w:ascii="Arial" w:hAnsi="Arial" w:cs="Arial"/>
                <w:b/>
                <w:sz w:val="18"/>
                <w:szCs w:val="18"/>
                <w:lang w:eastAsia="es-ES"/>
              </w:rPr>
            </w:pPr>
            <w:r w:rsidRPr="00FC6548">
              <w:rPr>
                <w:rFonts w:ascii="Arial" w:hAnsi="Arial" w:cs="Arial"/>
                <w:b/>
                <w:sz w:val="18"/>
                <w:szCs w:val="18"/>
                <w:lang w:eastAsia="es-ES"/>
              </w:rPr>
              <w:t>PRETENSION</w:t>
            </w:r>
          </w:p>
          <w:p w:rsidR="00FC6548" w:rsidRPr="00FC6548" w:rsidRDefault="00FC6548" w:rsidP="00FC6548">
            <w:pPr>
              <w:ind w:right="-15"/>
              <w:jc w:val="center"/>
              <w:rPr>
                <w:rFonts w:ascii="Arial" w:hAnsi="Arial" w:cs="Arial"/>
                <w:b/>
                <w:sz w:val="18"/>
                <w:szCs w:val="18"/>
                <w:lang w:eastAsia="es-ES"/>
              </w:rPr>
            </w:pPr>
            <w:r w:rsidRPr="00FC6548">
              <w:rPr>
                <w:rFonts w:ascii="Arial" w:hAnsi="Arial" w:cs="Arial"/>
                <w:b/>
                <w:sz w:val="18"/>
                <w:szCs w:val="18"/>
                <w:lang w:eastAsia="es-ES"/>
              </w:rPr>
              <w:t>SALARIAL</w:t>
            </w:r>
          </w:p>
        </w:tc>
      </w:tr>
      <w:tr w:rsidR="00FC6548" w:rsidRPr="00FC6548" w:rsidTr="003607CE">
        <w:tc>
          <w:tcPr>
            <w:tcW w:w="1555" w:type="dxa"/>
          </w:tcPr>
          <w:p w:rsidR="00FC6548" w:rsidRPr="00FC6548" w:rsidRDefault="00FC6548" w:rsidP="00FC6548">
            <w:pPr>
              <w:ind w:right="-15"/>
              <w:rPr>
                <w:rFonts w:ascii="Arial" w:hAnsi="Arial" w:cs="Arial"/>
                <w:sz w:val="18"/>
                <w:szCs w:val="18"/>
                <w:lang w:eastAsia="es-ES"/>
              </w:rPr>
            </w:pPr>
            <w:r w:rsidRPr="00FC6548">
              <w:rPr>
                <w:rFonts w:ascii="Arial" w:hAnsi="Arial" w:cs="Arial"/>
                <w:sz w:val="18"/>
                <w:szCs w:val="18"/>
                <w:lang w:eastAsia="es-ES"/>
              </w:rPr>
              <w:t>Licda. Nora Haydee Pérez de Molina</w:t>
            </w:r>
          </w:p>
        </w:tc>
        <w:tc>
          <w:tcPr>
            <w:tcW w:w="1275"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35%</w:t>
            </w:r>
          </w:p>
        </w:tc>
        <w:tc>
          <w:tcPr>
            <w:tcW w:w="1324"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35%</w:t>
            </w:r>
          </w:p>
        </w:tc>
        <w:tc>
          <w:tcPr>
            <w:tcW w:w="1370"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20%</w:t>
            </w:r>
          </w:p>
        </w:tc>
        <w:tc>
          <w:tcPr>
            <w:tcW w:w="1417"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10%</w:t>
            </w:r>
          </w:p>
        </w:tc>
        <w:tc>
          <w:tcPr>
            <w:tcW w:w="992" w:type="dxa"/>
          </w:tcPr>
          <w:p w:rsidR="00FC6548" w:rsidRPr="00FC6548" w:rsidRDefault="00FC6548" w:rsidP="00FC6548">
            <w:pPr>
              <w:ind w:right="-15"/>
              <w:rPr>
                <w:rFonts w:ascii="Arial" w:hAnsi="Arial" w:cs="Arial"/>
                <w:sz w:val="18"/>
                <w:szCs w:val="18"/>
                <w:lang w:eastAsia="es-ES"/>
              </w:rPr>
            </w:pPr>
          </w:p>
          <w:p w:rsidR="00FC6548" w:rsidRPr="00FC6548" w:rsidRDefault="00FC6548" w:rsidP="00FC6548">
            <w:pPr>
              <w:ind w:right="-15"/>
              <w:rPr>
                <w:rFonts w:ascii="Arial" w:hAnsi="Arial" w:cs="Arial"/>
                <w:sz w:val="18"/>
                <w:szCs w:val="18"/>
                <w:lang w:eastAsia="es-ES"/>
              </w:rPr>
            </w:pPr>
            <w:r w:rsidRPr="00FC6548">
              <w:rPr>
                <w:rFonts w:ascii="Arial" w:hAnsi="Arial" w:cs="Arial"/>
                <w:sz w:val="18"/>
                <w:szCs w:val="18"/>
                <w:lang w:eastAsia="es-ES"/>
              </w:rPr>
              <w:t>100%</w:t>
            </w:r>
          </w:p>
        </w:tc>
        <w:tc>
          <w:tcPr>
            <w:tcW w:w="1423" w:type="dxa"/>
          </w:tcPr>
          <w:p w:rsidR="00FC6548" w:rsidRPr="00FC6548" w:rsidRDefault="00FC6548" w:rsidP="00FC6548">
            <w:pPr>
              <w:ind w:right="-15"/>
              <w:rPr>
                <w:rFonts w:ascii="Arial" w:hAnsi="Arial" w:cs="Arial"/>
                <w:sz w:val="18"/>
                <w:szCs w:val="18"/>
                <w:lang w:eastAsia="es-ES"/>
              </w:rPr>
            </w:pPr>
          </w:p>
          <w:p w:rsidR="00FC6548" w:rsidRPr="00FC6548" w:rsidRDefault="00FC6548" w:rsidP="00FC6548">
            <w:pPr>
              <w:ind w:right="-15"/>
              <w:rPr>
                <w:rFonts w:ascii="Arial" w:hAnsi="Arial" w:cs="Arial"/>
                <w:sz w:val="18"/>
                <w:szCs w:val="18"/>
                <w:lang w:eastAsia="es-ES"/>
              </w:rPr>
            </w:pPr>
            <w:r w:rsidRPr="00FC6548">
              <w:rPr>
                <w:rFonts w:ascii="Arial" w:hAnsi="Arial" w:cs="Arial"/>
                <w:sz w:val="18"/>
                <w:szCs w:val="18"/>
                <w:lang w:eastAsia="es-ES"/>
              </w:rPr>
              <w:t>$ 850.00</w:t>
            </w:r>
          </w:p>
        </w:tc>
      </w:tr>
      <w:tr w:rsidR="00FC6548" w:rsidRPr="00FC6548" w:rsidTr="003607CE">
        <w:tc>
          <w:tcPr>
            <w:tcW w:w="1555" w:type="dxa"/>
          </w:tcPr>
          <w:p w:rsidR="00FC6548" w:rsidRPr="00FC6548" w:rsidRDefault="00FC6548" w:rsidP="00FC6548">
            <w:pPr>
              <w:ind w:right="-15"/>
              <w:rPr>
                <w:rFonts w:ascii="Arial" w:hAnsi="Arial" w:cs="Arial"/>
                <w:sz w:val="18"/>
                <w:szCs w:val="18"/>
                <w:lang w:eastAsia="es-ES"/>
              </w:rPr>
            </w:pPr>
            <w:r w:rsidRPr="00FC6548">
              <w:rPr>
                <w:rFonts w:ascii="Arial" w:hAnsi="Arial" w:cs="Arial"/>
                <w:sz w:val="18"/>
                <w:szCs w:val="18"/>
                <w:lang w:eastAsia="es-ES"/>
              </w:rPr>
              <w:t>Lic. Víctor Antonio Sánchez Molina</w:t>
            </w:r>
          </w:p>
        </w:tc>
        <w:tc>
          <w:tcPr>
            <w:tcW w:w="1275"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35%</w:t>
            </w:r>
          </w:p>
        </w:tc>
        <w:tc>
          <w:tcPr>
            <w:tcW w:w="1324"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35%</w:t>
            </w:r>
          </w:p>
        </w:tc>
        <w:tc>
          <w:tcPr>
            <w:tcW w:w="1370"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20%</w:t>
            </w:r>
          </w:p>
        </w:tc>
        <w:tc>
          <w:tcPr>
            <w:tcW w:w="1417"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10%</w:t>
            </w:r>
          </w:p>
        </w:tc>
        <w:tc>
          <w:tcPr>
            <w:tcW w:w="992" w:type="dxa"/>
          </w:tcPr>
          <w:p w:rsidR="00FC6548" w:rsidRPr="00FC6548" w:rsidRDefault="00FC6548" w:rsidP="00FC6548">
            <w:pPr>
              <w:ind w:right="-15"/>
              <w:rPr>
                <w:rFonts w:ascii="Arial" w:hAnsi="Arial" w:cs="Arial"/>
                <w:sz w:val="18"/>
                <w:szCs w:val="18"/>
                <w:lang w:eastAsia="es-ES"/>
              </w:rPr>
            </w:pPr>
          </w:p>
          <w:p w:rsidR="00FC6548" w:rsidRPr="00FC6548" w:rsidRDefault="00FC6548" w:rsidP="00FC6548">
            <w:pPr>
              <w:ind w:right="-15"/>
              <w:rPr>
                <w:rFonts w:ascii="Arial" w:hAnsi="Arial" w:cs="Arial"/>
                <w:sz w:val="18"/>
                <w:szCs w:val="18"/>
                <w:lang w:eastAsia="es-ES"/>
              </w:rPr>
            </w:pPr>
            <w:r w:rsidRPr="00FC6548">
              <w:rPr>
                <w:rFonts w:ascii="Arial" w:hAnsi="Arial" w:cs="Arial"/>
                <w:sz w:val="18"/>
                <w:szCs w:val="18"/>
                <w:lang w:eastAsia="es-ES"/>
              </w:rPr>
              <w:t>100%</w:t>
            </w:r>
          </w:p>
        </w:tc>
        <w:tc>
          <w:tcPr>
            <w:tcW w:w="1423" w:type="dxa"/>
          </w:tcPr>
          <w:p w:rsidR="00FC6548" w:rsidRPr="00FC6548" w:rsidRDefault="00FC6548" w:rsidP="00FC6548">
            <w:pPr>
              <w:ind w:right="-15"/>
              <w:rPr>
                <w:rFonts w:ascii="Arial" w:hAnsi="Arial" w:cs="Arial"/>
                <w:sz w:val="18"/>
                <w:szCs w:val="18"/>
                <w:lang w:eastAsia="es-ES"/>
              </w:rPr>
            </w:pPr>
          </w:p>
          <w:p w:rsidR="00FC6548" w:rsidRPr="00FC6548" w:rsidRDefault="00FC6548" w:rsidP="00FC6548">
            <w:pPr>
              <w:ind w:right="-15"/>
              <w:rPr>
                <w:rFonts w:ascii="Arial" w:hAnsi="Arial" w:cs="Arial"/>
                <w:sz w:val="18"/>
                <w:szCs w:val="18"/>
                <w:lang w:eastAsia="es-ES"/>
              </w:rPr>
            </w:pPr>
            <w:r w:rsidRPr="00FC6548">
              <w:rPr>
                <w:rFonts w:ascii="Arial" w:hAnsi="Arial" w:cs="Arial"/>
                <w:sz w:val="18"/>
                <w:szCs w:val="18"/>
                <w:lang w:eastAsia="es-ES"/>
              </w:rPr>
              <w:t>$ 500.00</w:t>
            </w:r>
          </w:p>
        </w:tc>
      </w:tr>
      <w:tr w:rsidR="00FC6548" w:rsidRPr="00FC6548" w:rsidTr="003607CE">
        <w:tc>
          <w:tcPr>
            <w:tcW w:w="1555" w:type="dxa"/>
          </w:tcPr>
          <w:p w:rsidR="00FC6548" w:rsidRPr="00FC6548" w:rsidRDefault="00FC6548" w:rsidP="00FC6548">
            <w:pPr>
              <w:ind w:right="-15"/>
              <w:rPr>
                <w:rFonts w:ascii="Arial" w:hAnsi="Arial" w:cs="Arial"/>
                <w:sz w:val="18"/>
                <w:szCs w:val="18"/>
                <w:lang w:eastAsia="es-ES"/>
              </w:rPr>
            </w:pPr>
            <w:r w:rsidRPr="00FC6548">
              <w:rPr>
                <w:rFonts w:ascii="Arial" w:hAnsi="Arial" w:cs="Arial"/>
                <w:sz w:val="18"/>
                <w:szCs w:val="18"/>
                <w:lang w:eastAsia="es-ES"/>
              </w:rPr>
              <w:t>Lic. Juan Francisco Chavajay</w:t>
            </w:r>
          </w:p>
        </w:tc>
        <w:tc>
          <w:tcPr>
            <w:tcW w:w="1275" w:type="dxa"/>
          </w:tcPr>
          <w:p w:rsidR="00FC6548" w:rsidRPr="00FC6548" w:rsidRDefault="00FC6548" w:rsidP="00FC6548">
            <w:pPr>
              <w:ind w:right="-15"/>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25%</w:t>
            </w:r>
          </w:p>
        </w:tc>
        <w:tc>
          <w:tcPr>
            <w:tcW w:w="1324"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35%</w:t>
            </w:r>
          </w:p>
        </w:tc>
        <w:tc>
          <w:tcPr>
            <w:tcW w:w="1370"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20%</w:t>
            </w:r>
          </w:p>
        </w:tc>
        <w:tc>
          <w:tcPr>
            <w:tcW w:w="1417" w:type="dxa"/>
          </w:tcPr>
          <w:p w:rsidR="00FC6548" w:rsidRPr="00FC6548" w:rsidRDefault="00FC6548" w:rsidP="00FC6548">
            <w:pPr>
              <w:ind w:right="-15"/>
              <w:jc w:val="center"/>
              <w:rPr>
                <w:rFonts w:ascii="Arial" w:hAnsi="Arial" w:cs="Arial"/>
                <w:sz w:val="18"/>
                <w:szCs w:val="18"/>
                <w:lang w:eastAsia="es-ES"/>
              </w:rPr>
            </w:pPr>
          </w:p>
          <w:p w:rsidR="00FC6548" w:rsidRPr="00FC6548" w:rsidRDefault="00FC6548" w:rsidP="00FC6548">
            <w:pPr>
              <w:ind w:right="-15"/>
              <w:jc w:val="center"/>
              <w:rPr>
                <w:rFonts w:ascii="Arial" w:hAnsi="Arial" w:cs="Arial"/>
                <w:sz w:val="18"/>
                <w:szCs w:val="18"/>
                <w:lang w:eastAsia="es-ES"/>
              </w:rPr>
            </w:pPr>
            <w:r w:rsidRPr="00FC6548">
              <w:rPr>
                <w:rFonts w:ascii="Arial" w:hAnsi="Arial" w:cs="Arial"/>
                <w:sz w:val="18"/>
                <w:szCs w:val="18"/>
                <w:lang w:eastAsia="es-ES"/>
              </w:rPr>
              <w:t>10%</w:t>
            </w:r>
          </w:p>
        </w:tc>
        <w:tc>
          <w:tcPr>
            <w:tcW w:w="992" w:type="dxa"/>
          </w:tcPr>
          <w:p w:rsidR="00FC6548" w:rsidRPr="00FC6548" w:rsidRDefault="00FC6548" w:rsidP="00FC6548">
            <w:pPr>
              <w:ind w:right="-15"/>
              <w:rPr>
                <w:rFonts w:ascii="Arial" w:hAnsi="Arial" w:cs="Arial"/>
                <w:sz w:val="18"/>
                <w:szCs w:val="18"/>
                <w:lang w:eastAsia="es-ES"/>
              </w:rPr>
            </w:pPr>
          </w:p>
          <w:p w:rsidR="00FC6548" w:rsidRPr="00FC6548" w:rsidRDefault="00FC6548" w:rsidP="00FC6548">
            <w:pPr>
              <w:ind w:right="-15"/>
              <w:rPr>
                <w:rFonts w:ascii="Arial" w:hAnsi="Arial" w:cs="Arial"/>
                <w:sz w:val="18"/>
                <w:szCs w:val="18"/>
                <w:lang w:eastAsia="es-ES"/>
              </w:rPr>
            </w:pPr>
            <w:r w:rsidRPr="00FC6548">
              <w:rPr>
                <w:rFonts w:ascii="Arial" w:hAnsi="Arial" w:cs="Arial"/>
                <w:sz w:val="18"/>
                <w:szCs w:val="18"/>
                <w:lang w:eastAsia="es-ES"/>
              </w:rPr>
              <w:t>90%</w:t>
            </w:r>
          </w:p>
        </w:tc>
        <w:tc>
          <w:tcPr>
            <w:tcW w:w="1423" w:type="dxa"/>
          </w:tcPr>
          <w:p w:rsidR="00FC6548" w:rsidRPr="00FC6548" w:rsidRDefault="00FC6548" w:rsidP="00FC6548">
            <w:pPr>
              <w:ind w:right="-15"/>
              <w:rPr>
                <w:rFonts w:ascii="Arial" w:hAnsi="Arial" w:cs="Arial"/>
                <w:sz w:val="18"/>
                <w:szCs w:val="18"/>
                <w:lang w:eastAsia="es-ES"/>
              </w:rPr>
            </w:pPr>
          </w:p>
          <w:p w:rsidR="00FC6548" w:rsidRPr="00FC6548" w:rsidRDefault="00FC6548" w:rsidP="00FC6548">
            <w:pPr>
              <w:ind w:right="-15"/>
              <w:rPr>
                <w:rFonts w:ascii="Arial" w:hAnsi="Arial" w:cs="Arial"/>
                <w:sz w:val="18"/>
                <w:szCs w:val="18"/>
                <w:lang w:eastAsia="es-ES"/>
              </w:rPr>
            </w:pPr>
            <w:r w:rsidRPr="00FC6548">
              <w:rPr>
                <w:rFonts w:ascii="Arial" w:hAnsi="Arial" w:cs="Arial"/>
                <w:sz w:val="18"/>
                <w:szCs w:val="18"/>
                <w:lang w:eastAsia="es-ES"/>
              </w:rPr>
              <w:t>$ 500.00</w:t>
            </w:r>
          </w:p>
        </w:tc>
      </w:tr>
    </w:tbl>
    <w:p w:rsidR="00FC6548" w:rsidRPr="00FC6548" w:rsidRDefault="00FC6548" w:rsidP="00FC6548">
      <w:pPr>
        <w:spacing w:after="0" w:line="360" w:lineRule="auto"/>
        <w:ind w:right="-142"/>
        <w:jc w:val="both"/>
        <w:rPr>
          <w:rFonts w:ascii="Arial" w:eastAsia="Times New Roman" w:hAnsi="Arial" w:cs="Arial"/>
          <w:sz w:val="20"/>
          <w:szCs w:val="20"/>
          <w:lang w:eastAsia="es-ES"/>
        </w:rPr>
      </w:pPr>
    </w:p>
    <w:p w:rsidR="00FC6548" w:rsidRPr="00FC6548" w:rsidRDefault="00FC6548" w:rsidP="00FC6548">
      <w:pPr>
        <w:spacing w:after="0" w:line="360" w:lineRule="auto"/>
        <w:ind w:right="-142"/>
        <w:jc w:val="both"/>
        <w:rPr>
          <w:rFonts w:ascii="Arial" w:eastAsia="Times New Roman" w:hAnsi="Arial" w:cs="Arial"/>
          <w:sz w:val="20"/>
          <w:szCs w:val="20"/>
          <w:lang w:eastAsia="es-ES"/>
        </w:rPr>
      </w:pPr>
    </w:p>
    <w:p w:rsidR="00FC6548" w:rsidRPr="00FC6548" w:rsidRDefault="00FC6548" w:rsidP="00FC6548">
      <w:pPr>
        <w:spacing w:after="0" w:line="360" w:lineRule="auto"/>
        <w:jc w:val="both"/>
        <w:rPr>
          <w:rFonts w:ascii="Arial" w:eastAsia="Times New Roman" w:hAnsi="Arial" w:cs="Arial"/>
          <w:sz w:val="20"/>
          <w:szCs w:val="20"/>
          <w:lang w:eastAsia="es-ES"/>
        </w:rPr>
      </w:pPr>
      <w:r w:rsidRPr="00FC6548">
        <w:rPr>
          <w:rFonts w:ascii="Arial" w:eastAsia="Times New Roman" w:hAnsi="Arial" w:cs="Arial"/>
          <w:sz w:val="20"/>
          <w:szCs w:val="20"/>
          <w:lang w:eastAsia="es-ES"/>
        </w:rPr>
        <w:t xml:space="preserve">Por lo tanto, de acuerdo al análisis efectuado en la revisión de perfiles, conocimientos, experiencias,  pretensión salarial y entrevistas con los participantes, se recomienda la contratación de las siguientes personas </w:t>
      </w:r>
      <w:r w:rsidRPr="00FC6548">
        <w:rPr>
          <w:rFonts w:ascii="Arial" w:hAnsi="Arial" w:cs="Arial"/>
          <w:sz w:val="20"/>
          <w:szCs w:val="20"/>
          <w:lang w:eastAsia="es-ES"/>
        </w:rPr>
        <w:t>Víctor Antonio Sánchez Molina y  Juan Francisco Chavajay</w:t>
      </w:r>
      <w:r w:rsidRPr="00FC6548">
        <w:rPr>
          <w:rFonts w:ascii="Arial" w:eastAsia="Times New Roman" w:hAnsi="Arial" w:cs="Arial"/>
          <w:sz w:val="20"/>
          <w:szCs w:val="20"/>
          <w:lang w:eastAsia="es-ES"/>
        </w:rPr>
        <w:t>, ya que cumplen con los requisitos expresados anteriormente. En cuanto a</w:t>
      </w:r>
      <w:r w:rsidRPr="00FC6548">
        <w:rPr>
          <w:rFonts w:ascii="Arial" w:hAnsi="Arial" w:cs="Arial"/>
          <w:sz w:val="20"/>
          <w:szCs w:val="20"/>
          <w:lang w:eastAsia="es-ES"/>
        </w:rPr>
        <w:t xml:space="preserve"> la</w:t>
      </w:r>
      <w:r w:rsidRPr="00FC6548">
        <w:rPr>
          <w:rFonts w:ascii="Arial" w:eastAsia="Times New Roman" w:hAnsi="Arial" w:cs="Arial"/>
          <w:sz w:val="20"/>
          <w:szCs w:val="20"/>
          <w:lang w:eastAsia="es-ES"/>
        </w:rPr>
        <w:t xml:space="preserve"> Licenciada Nora Haydee Pérez de Molina se descarta, ya que si bien posee experiencia, su pretensión salarial es muy elevada para lo que está presupuestado en la Municipalidad.</w:t>
      </w:r>
      <w:r w:rsidRPr="00FC6548">
        <w:rPr>
          <w:rFonts w:ascii="Arial" w:eastAsia="Times New Roman" w:hAnsi="Arial" w:cs="Arial"/>
          <w:b/>
          <w:bCs/>
          <w:sz w:val="20"/>
          <w:szCs w:val="20"/>
          <w:lang w:eastAsia="es-ES"/>
        </w:rPr>
        <w:t xml:space="preserve"> </w:t>
      </w:r>
      <w:r w:rsidRPr="00FC6548">
        <w:rPr>
          <w:rFonts w:ascii="Arial" w:eastAsia="Times New Roman" w:hAnsi="Arial" w:cs="Arial"/>
          <w:sz w:val="20"/>
          <w:szCs w:val="20"/>
          <w:lang w:eastAsia="es-ES"/>
        </w:rPr>
        <w:t xml:space="preserve">Por lo que este Concejo Municipal en uso de sus facultades legales y con base a la Recomendación realizada </w:t>
      </w:r>
      <w:r w:rsidRPr="00FC6548">
        <w:rPr>
          <w:rFonts w:ascii="Arial" w:eastAsia="Times New Roman" w:hAnsi="Arial" w:cs="Arial"/>
          <w:b/>
          <w:bCs/>
          <w:sz w:val="20"/>
          <w:szCs w:val="20"/>
          <w:lang w:eastAsia="es-ES"/>
        </w:rPr>
        <w:t>ACUERDA: a)</w:t>
      </w:r>
      <w:r w:rsidRPr="00FC6548">
        <w:rPr>
          <w:rFonts w:ascii="Arial" w:eastAsia="Times New Roman" w:hAnsi="Arial" w:cs="Arial"/>
          <w:sz w:val="20"/>
          <w:szCs w:val="20"/>
          <w:lang w:eastAsia="es-ES"/>
        </w:rPr>
        <w:t xml:space="preserve"> Contratar los Servicios Profesionales del Licenciado </w:t>
      </w:r>
      <w:r w:rsidRPr="00FC6548">
        <w:rPr>
          <w:rFonts w:ascii="Arial" w:eastAsia="Times New Roman" w:hAnsi="Arial" w:cs="Arial"/>
          <w:b/>
          <w:sz w:val="20"/>
          <w:szCs w:val="20"/>
          <w:lang w:eastAsia="es-ES"/>
        </w:rPr>
        <w:t>VICTOR ANTONIO SANCHEZ MOLINA</w:t>
      </w:r>
      <w:r w:rsidRPr="00FC6548">
        <w:rPr>
          <w:rFonts w:ascii="Arial" w:eastAsia="Times New Roman" w:hAnsi="Arial" w:cs="Arial"/>
          <w:sz w:val="20"/>
          <w:szCs w:val="20"/>
          <w:lang w:eastAsia="es-ES"/>
        </w:rPr>
        <w:t xml:space="preserve">, con un salario de </w:t>
      </w:r>
      <w:r w:rsidRPr="00FC6548">
        <w:rPr>
          <w:rFonts w:ascii="Arial" w:eastAsia="Times New Roman" w:hAnsi="Arial" w:cs="Arial"/>
          <w:b/>
          <w:sz w:val="20"/>
          <w:szCs w:val="20"/>
          <w:lang w:eastAsia="es-ES"/>
        </w:rPr>
        <w:t>QUINIENTOS DOLARES DE LOS ESTADOS UNIDOS DE AMERICA</w:t>
      </w:r>
      <w:r w:rsidRPr="00FC6548">
        <w:rPr>
          <w:rFonts w:ascii="Arial" w:eastAsia="Times New Roman" w:hAnsi="Arial" w:cs="Arial"/>
          <w:sz w:val="20"/>
          <w:szCs w:val="20"/>
          <w:lang w:eastAsia="es-ES"/>
        </w:rPr>
        <w:t xml:space="preserve">, ($500.00) para un plazo de </w:t>
      </w:r>
      <w:r w:rsidRPr="00FC6548">
        <w:rPr>
          <w:rFonts w:ascii="Arial" w:eastAsia="Times New Roman" w:hAnsi="Arial" w:cs="Arial"/>
          <w:sz w:val="20"/>
          <w:szCs w:val="20"/>
          <w:lang w:eastAsia="es-ES"/>
        </w:rPr>
        <w:lastRenderedPageBreak/>
        <w:t xml:space="preserve">DOS MESES, contados a partir del día diecinueve de noviembre del corriente año, los días lunes, miércoles y viernes, </w:t>
      </w:r>
      <w:r w:rsidRPr="00FC6548">
        <w:rPr>
          <w:rFonts w:ascii="Arial" w:eastAsia="Times New Roman" w:hAnsi="Arial" w:cs="Arial"/>
          <w:b/>
          <w:sz w:val="20"/>
          <w:szCs w:val="20"/>
          <w:lang w:eastAsia="es-ES"/>
        </w:rPr>
        <w:t>b)</w:t>
      </w:r>
      <w:r w:rsidRPr="00FC6548">
        <w:rPr>
          <w:rFonts w:ascii="Arial" w:eastAsia="Times New Roman" w:hAnsi="Arial" w:cs="Arial"/>
          <w:sz w:val="20"/>
          <w:szCs w:val="20"/>
          <w:lang w:eastAsia="es-ES"/>
        </w:rPr>
        <w:t xml:space="preserve"> Contratar los Servicios Profesionales del Licenciado </w:t>
      </w:r>
      <w:r w:rsidRPr="00FC6548">
        <w:rPr>
          <w:rFonts w:ascii="Arial" w:eastAsia="Times New Roman" w:hAnsi="Arial" w:cs="Arial"/>
          <w:b/>
          <w:sz w:val="20"/>
          <w:szCs w:val="20"/>
          <w:lang w:eastAsia="es-ES"/>
        </w:rPr>
        <w:t>JUAN FRANCISCO CHAVAJAY</w:t>
      </w:r>
      <w:r w:rsidRPr="00FC6548">
        <w:rPr>
          <w:rFonts w:ascii="Arial" w:eastAsia="Times New Roman" w:hAnsi="Arial" w:cs="Arial"/>
          <w:sz w:val="20"/>
          <w:szCs w:val="20"/>
          <w:lang w:eastAsia="es-ES"/>
        </w:rPr>
        <w:t xml:space="preserve">, con un salario de </w:t>
      </w:r>
      <w:r w:rsidRPr="00FC6548">
        <w:rPr>
          <w:rFonts w:ascii="Arial" w:eastAsia="Times New Roman" w:hAnsi="Arial" w:cs="Arial"/>
          <w:b/>
          <w:sz w:val="20"/>
          <w:szCs w:val="20"/>
          <w:lang w:eastAsia="es-ES"/>
        </w:rPr>
        <w:t>QUINIENTOS DOLARES DE LOS ESTADOS UNIDOS DE AMERICA,</w:t>
      </w:r>
      <w:r w:rsidRPr="00FC6548">
        <w:rPr>
          <w:rFonts w:ascii="Arial" w:eastAsia="Times New Roman" w:hAnsi="Arial" w:cs="Arial"/>
          <w:sz w:val="20"/>
          <w:szCs w:val="20"/>
          <w:lang w:eastAsia="es-ES"/>
        </w:rPr>
        <w:t xml:space="preserve"> ($500.00) para un plazo de DOS MESES, contados a partir del día diecinueve de noviembre del corriente año, de lunes a viernes; </w:t>
      </w:r>
      <w:r w:rsidRPr="00FC6548">
        <w:rPr>
          <w:rFonts w:ascii="Arial" w:eastAsia="Times New Roman" w:hAnsi="Arial" w:cs="Arial"/>
          <w:b/>
          <w:bCs/>
          <w:sz w:val="20"/>
          <w:szCs w:val="20"/>
          <w:lang w:eastAsia="es-ES"/>
        </w:rPr>
        <w:t xml:space="preserve">c) </w:t>
      </w:r>
      <w:r w:rsidRPr="00FC6548">
        <w:rPr>
          <w:rFonts w:ascii="Arial" w:eastAsia="Times New Roman" w:hAnsi="Arial" w:cs="Arial"/>
          <w:sz w:val="20"/>
          <w:szCs w:val="20"/>
          <w:lang w:eastAsia="es-ES"/>
        </w:rPr>
        <w:t xml:space="preserve"> Deléguese al Ingeniero Adolfo Rivas Barrios, para que firme los contratos respectivos y la Unidad Jurídica que lo elabore; </w:t>
      </w:r>
      <w:r w:rsidRPr="00FC6548">
        <w:rPr>
          <w:rFonts w:ascii="Arial" w:eastAsia="Times New Roman" w:hAnsi="Arial" w:cs="Arial"/>
          <w:b/>
          <w:sz w:val="20"/>
          <w:szCs w:val="20"/>
          <w:lang w:eastAsia="es-ES"/>
        </w:rPr>
        <w:t>d)</w:t>
      </w:r>
      <w:r w:rsidRPr="00FC6548">
        <w:rPr>
          <w:rFonts w:ascii="Arial" w:eastAsia="Times New Roman" w:hAnsi="Arial" w:cs="Arial"/>
          <w:sz w:val="20"/>
          <w:szCs w:val="20"/>
          <w:lang w:eastAsia="es-ES"/>
        </w:rPr>
        <w:t xml:space="preserve"> Nómbrese como Administradora de Contratos a la Licenciada Flor de María Saravia de Alvarado. </w:t>
      </w:r>
      <w:r w:rsidRPr="00FC6548">
        <w:rPr>
          <w:rFonts w:ascii="Arial" w:eastAsia="Times New Roman" w:hAnsi="Arial" w:cs="Arial"/>
          <w:b/>
          <w:bCs/>
          <w:sz w:val="20"/>
          <w:szCs w:val="20"/>
          <w:u w:val="single"/>
          <w:lang w:eastAsia="es-ES"/>
        </w:rPr>
        <w:t>Votación Unánime.</w:t>
      </w:r>
      <w:r w:rsidRPr="00FC6548">
        <w:rPr>
          <w:rFonts w:ascii="Arial" w:eastAsia="Times New Roman" w:hAnsi="Arial" w:cs="Arial"/>
          <w:sz w:val="20"/>
          <w:szCs w:val="20"/>
          <w:lang w:eastAsia="es-ES"/>
        </w:rPr>
        <w:t xml:space="preserve"> Notifíquese.””””””””””””” </w:t>
      </w:r>
      <w:r w:rsidRPr="00FC6548">
        <w:rPr>
          <w:rFonts w:ascii="Arial" w:eastAsia="Times New Roman" w:hAnsi="Arial" w:cs="Arial"/>
          <w:b/>
          <w:sz w:val="20"/>
          <w:szCs w:val="20"/>
          <w:lang w:eastAsia="es-ES"/>
        </w:rPr>
        <w:t xml:space="preserve">ACUERDO NUMERO CINCO: </w:t>
      </w:r>
      <w:r w:rsidRPr="00FC6548">
        <w:rPr>
          <w:rFonts w:ascii="Arial" w:eastAsia="Times New Roman" w:hAnsi="Arial" w:cs="Arial"/>
          <w:sz w:val="20"/>
          <w:szCs w:val="20"/>
          <w:lang w:eastAsia="es-ES"/>
        </w:rPr>
        <w:t xml:space="preserve">El Concejo Municipal CONSIDERANDO: </w:t>
      </w:r>
      <w:r w:rsidRPr="00FC6548">
        <w:rPr>
          <w:rFonts w:ascii="Arial" w:eastAsia="Times New Roman" w:hAnsi="Arial" w:cs="Arial"/>
          <w:b/>
          <w:sz w:val="20"/>
          <w:szCs w:val="20"/>
          <w:lang w:eastAsia="es-ES"/>
        </w:rPr>
        <w:t>I.</w:t>
      </w:r>
      <w:r w:rsidRPr="00FC6548">
        <w:rPr>
          <w:rFonts w:ascii="Arial" w:eastAsia="Times New Roman" w:hAnsi="Arial" w:cs="Arial"/>
          <w:sz w:val="20"/>
          <w:szCs w:val="20"/>
          <w:lang w:eastAsia="es-ES"/>
        </w:rPr>
        <w:t xml:space="preserve"> Que según Acuerdo número CINCO, que consta en Acta número UNO, de fecha uno de mayo del año dos mil ocho, mediante el cual se Acordó “Autorizar para firmar los cheques de la Municipalidad de Nejapa, departamento de San Salvador, ante cualquier institución financiera o bancaria a las personas siguientes: Alcalde Municipal: Ingeniero Adolfo Rivas Barrios, Tesorera Municipal, Ana Gladis García de Henríquez, y como refrendarios a los Regidores: José Arami Paniagua Quijada, y María Roxana Acosta de Mejía, conjuntamente con la Tesorera Municipal””. </w:t>
      </w:r>
      <w:r w:rsidRPr="00FC6548">
        <w:rPr>
          <w:rFonts w:ascii="Arial" w:eastAsia="Times New Roman" w:hAnsi="Arial" w:cs="Arial"/>
          <w:b/>
          <w:sz w:val="20"/>
          <w:szCs w:val="20"/>
          <w:lang w:eastAsia="es-ES"/>
        </w:rPr>
        <w:t>II.</w:t>
      </w:r>
      <w:r w:rsidRPr="00FC6548">
        <w:rPr>
          <w:rFonts w:ascii="Arial" w:eastAsia="Times New Roman" w:hAnsi="Arial" w:cs="Arial"/>
          <w:sz w:val="20"/>
          <w:szCs w:val="20"/>
          <w:lang w:eastAsia="es-ES"/>
        </w:rPr>
        <w:t xml:space="preserve"> Según Reforma del Código de Familia y  La Ley del Nombre de las Personas Naturales, las personas que cuyo matrimonio ha sido disuelto o anulado, puede tener el estado de soltera y usar los apellidos de soltera, siendo el caso de la Regidora María Roxana Acosta de Mejía, por lo que este Concejo en uso de sus facultades Legales, </w:t>
      </w:r>
      <w:r w:rsidRPr="00FC6548">
        <w:rPr>
          <w:rFonts w:ascii="Arial" w:eastAsia="Times New Roman" w:hAnsi="Arial" w:cs="Arial"/>
          <w:b/>
          <w:sz w:val="20"/>
          <w:szCs w:val="20"/>
          <w:lang w:eastAsia="es-ES"/>
        </w:rPr>
        <w:t>ACUERDA:</w:t>
      </w:r>
      <w:r w:rsidRPr="00FC6548">
        <w:rPr>
          <w:rFonts w:ascii="Arial" w:eastAsia="Times New Roman" w:hAnsi="Arial" w:cs="Arial"/>
          <w:sz w:val="20"/>
          <w:szCs w:val="20"/>
          <w:lang w:eastAsia="es-ES"/>
        </w:rPr>
        <w:t xml:space="preserve"> </w:t>
      </w:r>
      <w:r w:rsidRPr="00FC6548">
        <w:rPr>
          <w:rFonts w:ascii="Arial" w:eastAsia="Times New Roman" w:hAnsi="Arial" w:cs="Arial"/>
          <w:b/>
          <w:sz w:val="20"/>
          <w:szCs w:val="20"/>
          <w:lang w:eastAsia="es-ES"/>
        </w:rPr>
        <w:t>a)</w:t>
      </w:r>
      <w:r w:rsidRPr="00FC6548">
        <w:rPr>
          <w:rFonts w:ascii="Arial" w:eastAsia="Times New Roman" w:hAnsi="Arial" w:cs="Arial"/>
          <w:sz w:val="20"/>
          <w:szCs w:val="20"/>
          <w:lang w:eastAsia="es-ES"/>
        </w:rPr>
        <w:t xml:space="preserve"> Modificar el Acuerdo número CINCO, que consta en Acta número UNO, de fecha uno de mayo del año dos mil ocho, en el sentido  de autorizar  para firma de cheques de la Municipalidad de Nejapa, departamento de San Salvador, ante cualquier institución financiera o bancaria a la señora María Roxana Acosta Duran, </w:t>
      </w:r>
      <w:r w:rsidRPr="00FC6548">
        <w:rPr>
          <w:rFonts w:ascii="Arial" w:eastAsia="Times New Roman" w:hAnsi="Arial" w:cs="Arial"/>
          <w:b/>
          <w:sz w:val="20"/>
          <w:szCs w:val="20"/>
          <w:lang w:eastAsia="es-ES"/>
        </w:rPr>
        <w:t>b)</w:t>
      </w:r>
      <w:r w:rsidRPr="00FC6548">
        <w:rPr>
          <w:rFonts w:ascii="Arial" w:eastAsia="Times New Roman" w:hAnsi="Arial" w:cs="Arial"/>
          <w:sz w:val="20"/>
          <w:szCs w:val="20"/>
          <w:lang w:eastAsia="es-ES"/>
        </w:rPr>
        <w:t xml:space="preserve"> Ratificar los demás términos del acuerdo relacionado modificándose únicamente el nombre de la Regidora María Roxana Acosta Duran. </w:t>
      </w:r>
      <w:r w:rsidRPr="00FC6548">
        <w:rPr>
          <w:rFonts w:ascii="Arial" w:eastAsia="Times New Roman" w:hAnsi="Arial" w:cs="Arial"/>
          <w:b/>
          <w:sz w:val="20"/>
          <w:szCs w:val="20"/>
          <w:u w:val="single"/>
          <w:lang w:eastAsia="es-ES"/>
        </w:rPr>
        <w:t>Votación Unánime</w:t>
      </w:r>
      <w:r w:rsidRPr="00FC6548">
        <w:rPr>
          <w:rFonts w:ascii="Arial" w:eastAsia="Times New Roman" w:hAnsi="Arial" w:cs="Arial"/>
          <w:sz w:val="20"/>
          <w:szCs w:val="20"/>
          <w:lang w:eastAsia="es-ES"/>
        </w:rPr>
        <w:t>.””””””””””””</w:t>
      </w:r>
      <w:r w:rsidRPr="00FC6548">
        <w:rPr>
          <w:rFonts w:ascii="Arial" w:eastAsia="Times New Roman" w:hAnsi="Arial" w:cs="Arial"/>
          <w:b/>
          <w:sz w:val="20"/>
          <w:szCs w:val="20"/>
          <w:lang w:eastAsia="es-ES"/>
        </w:rPr>
        <w:t xml:space="preserve"> </w:t>
      </w:r>
      <w:r w:rsidRPr="00FC6548">
        <w:rPr>
          <w:rFonts w:ascii="Arial" w:eastAsia="Times New Roman" w:hAnsi="Arial" w:cs="Arial"/>
          <w:sz w:val="20"/>
          <w:szCs w:val="20"/>
          <w:lang w:eastAsia="es-ES"/>
        </w:rPr>
        <w:t>Y no habiendo nada más que hacer constar se da por terminada esta reunión extraordinaria y levanta el acta que contiene la discusión y acuerdos tomados, la que leí al Concejo Municipal en pleno, quienes enterados del contenido de esta, la ratifican en todas sus partes y firmamos.</w:t>
      </w:r>
    </w:p>
    <w:p w:rsidR="00FC6548" w:rsidRPr="00FC6548" w:rsidRDefault="00FC6548" w:rsidP="00FC6548">
      <w:pPr>
        <w:spacing w:after="0" w:line="360" w:lineRule="auto"/>
        <w:jc w:val="both"/>
        <w:rPr>
          <w:rFonts w:ascii="Arial" w:eastAsia="Times New Roman" w:hAnsi="Arial" w:cs="Arial"/>
          <w:b/>
          <w:sz w:val="20"/>
          <w:szCs w:val="20"/>
          <w:lang w:eastAsia="es-ES"/>
        </w:rPr>
      </w:pPr>
    </w:p>
    <w:p w:rsidR="00FC6548" w:rsidRPr="00FC6548" w:rsidRDefault="00FC6548" w:rsidP="00FC6548">
      <w:pPr>
        <w:spacing w:after="0" w:line="360" w:lineRule="auto"/>
        <w:jc w:val="both"/>
        <w:rPr>
          <w:rFonts w:ascii="Arial" w:eastAsia="Times New Roman" w:hAnsi="Arial" w:cs="Arial"/>
          <w:b/>
          <w:sz w:val="20"/>
          <w:szCs w:val="20"/>
          <w:lang w:eastAsia="es-ES"/>
        </w:rPr>
      </w:pPr>
    </w:p>
    <w:p w:rsidR="00FC6548" w:rsidRPr="00FC6548" w:rsidRDefault="00FC6548" w:rsidP="00FC6548">
      <w:pPr>
        <w:spacing w:after="0" w:line="360" w:lineRule="auto"/>
        <w:jc w:val="both"/>
        <w:rPr>
          <w:rFonts w:ascii="Arial" w:eastAsia="Times New Roman" w:hAnsi="Arial" w:cs="Arial"/>
          <w:b/>
          <w:sz w:val="20"/>
          <w:szCs w:val="20"/>
          <w:lang w:eastAsia="es-ES"/>
        </w:rPr>
      </w:pPr>
    </w:p>
    <w:p w:rsidR="00FC6548" w:rsidRPr="00FC6548" w:rsidRDefault="00FC6548" w:rsidP="00FC6548">
      <w:pPr>
        <w:spacing w:after="0" w:line="360" w:lineRule="auto"/>
        <w:jc w:val="both"/>
        <w:rPr>
          <w:rFonts w:ascii="Arial" w:eastAsia="Times New Roman" w:hAnsi="Arial" w:cs="Arial"/>
          <w:b/>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ADOLFO RIVAS BARRIOS                                                              CARMEN FLORES CANJURA</w:t>
      </w: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   ALCALDE MUNICIPAL                                                                        SINDICA  MUNICIPAL</w:t>
      </w:r>
    </w:p>
    <w:p w:rsidR="00FC6548" w:rsidRPr="00FC6548" w:rsidRDefault="00FC6548" w:rsidP="00FC6548">
      <w:pPr>
        <w:spacing w:after="0" w:line="240" w:lineRule="auto"/>
        <w:jc w:val="center"/>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NOE BALTAZAR RENDEROS GUTIERREZ                       MARIA ROXANA ACOSTA DE MEJIA</w:t>
      </w: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            REGIDOR PROPIETARIO   </w:t>
      </w:r>
      <w:r w:rsidRPr="00FC6548">
        <w:rPr>
          <w:rFonts w:ascii="Arial" w:eastAsia="Times New Roman" w:hAnsi="Arial" w:cs="Arial"/>
          <w:b/>
          <w:color w:val="000000" w:themeColor="text1"/>
          <w:sz w:val="20"/>
          <w:szCs w:val="20"/>
          <w:lang w:eastAsia="es-ES"/>
        </w:rPr>
        <w:tab/>
        <w:t xml:space="preserve">                                        REGIDORA PROPIETARIA</w:t>
      </w:r>
    </w:p>
    <w:p w:rsidR="00FC6548" w:rsidRPr="00FC6548" w:rsidRDefault="00FC6548" w:rsidP="00FC6548">
      <w:pPr>
        <w:spacing w:after="0" w:line="240" w:lineRule="auto"/>
        <w:jc w:val="center"/>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SANDRA YANIRA RODRIGUEZ DE SERRANO     HERVYN BALMORE SANCHEZ RODRIGUEZ</w:t>
      </w: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          REGIDORA PROPIETARIA</w:t>
      </w:r>
      <w:r w:rsidRPr="00FC6548">
        <w:rPr>
          <w:rFonts w:ascii="Arial" w:eastAsia="Times New Roman" w:hAnsi="Arial" w:cs="Arial"/>
          <w:b/>
          <w:color w:val="000000" w:themeColor="text1"/>
          <w:sz w:val="20"/>
          <w:szCs w:val="20"/>
          <w:lang w:eastAsia="es-ES"/>
        </w:rPr>
        <w:tab/>
        <w:t xml:space="preserve">                                   REGIDOR PROPIETARIO</w:t>
      </w:r>
    </w:p>
    <w:p w:rsidR="00FC6548" w:rsidRPr="00FC6548" w:rsidRDefault="00FC6548" w:rsidP="00FC6548">
      <w:pPr>
        <w:spacing w:after="0" w:line="240" w:lineRule="auto"/>
        <w:jc w:val="both"/>
        <w:rPr>
          <w:rFonts w:ascii="Arial" w:eastAsia="Times New Roman" w:hAnsi="Arial" w:cs="Arial"/>
          <w:b/>
          <w:bCs/>
          <w:color w:val="000000" w:themeColor="text1"/>
          <w:sz w:val="20"/>
          <w:szCs w:val="20"/>
          <w:lang w:eastAsia="es-ES"/>
        </w:rPr>
      </w:pPr>
    </w:p>
    <w:p w:rsidR="00FC6548" w:rsidRPr="00FC6548" w:rsidRDefault="00FC6548" w:rsidP="00FC6548">
      <w:pPr>
        <w:spacing w:after="0" w:line="240" w:lineRule="auto"/>
        <w:jc w:val="both"/>
        <w:rPr>
          <w:rFonts w:ascii="Arial" w:eastAsia="Times New Roman" w:hAnsi="Arial" w:cs="Arial"/>
          <w:b/>
          <w:bCs/>
          <w:color w:val="000000" w:themeColor="text1"/>
          <w:sz w:val="20"/>
          <w:szCs w:val="20"/>
          <w:lang w:eastAsia="es-ES"/>
        </w:rPr>
      </w:pPr>
    </w:p>
    <w:p w:rsidR="00FC6548" w:rsidRPr="00FC6548" w:rsidRDefault="00FC6548" w:rsidP="00FC6548">
      <w:pPr>
        <w:spacing w:after="0" w:line="240" w:lineRule="auto"/>
        <w:jc w:val="both"/>
        <w:rPr>
          <w:rFonts w:ascii="Arial" w:eastAsia="Times New Roman" w:hAnsi="Arial" w:cs="Arial"/>
          <w:b/>
          <w:bCs/>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bCs/>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bCs/>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bCs/>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 GABRIEL RIVERA HERNANDEZ</w:t>
      </w:r>
      <w:r w:rsidRPr="00FC6548">
        <w:rPr>
          <w:rFonts w:ascii="Arial" w:eastAsia="Times New Roman" w:hAnsi="Arial" w:cs="Arial"/>
          <w:b/>
          <w:color w:val="000000" w:themeColor="text1"/>
          <w:sz w:val="20"/>
          <w:szCs w:val="20"/>
          <w:lang w:eastAsia="es-ES"/>
        </w:rPr>
        <w:tab/>
        <w:t xml:space="preserve">                                     EULALIO RODRIGUEZ FLORES</w:t>
      </w: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     REGIDOR PROPIETARIO</w:t>
      </w:r>
      <w:r w:rsidRPr="00FC6548">
        <w:rPr>
          <w:rFonts w:ascii="Arial" w:eastAsia="Times New Roman" w:hAnsi="Arial" w:cs="Arial"/>
          <w:b/>
          <w:color w:val="000000" w:themeColor="text1"/>
          <w:sz w:val="20"/>
          <w:szCs w:val="20"/>
          <w:lang w:eastAsia="es-ES"/>
        </w:rPr>
        <w:tab/>
      </w:r>
      <w:r w:rsidRPr="00FC6548">
        <w:rPr>
          <w:rFonts w:ascii="Arial" w:eastAsia="Times New Roman" w:hAnsi="Arial" w:cs="Arial"/>
          <w:b/>
          <w:color w:val="000000" w:themeColor="text1"/>
          <w:sz w:val="20"/>
          <w:szCs w:val="20"/>
          <w:lang w:eastAsia="es-ES"/>
        </w:rPr>
        <w:tab/>
        <w:t xml:space="preserve">                                          REGIDOR PROPIETARIO</w:t>
      </w: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             </w:t>
      </w: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FC6548" w:rsidRPr="00FC6548" w:rsidRDefault="00FC6548" w:rsidP="00FC6548">
      <w:pPr>
        <w:spacing w:after="0" w:line="240" w:lineRule="auto"/>
        <w:jc w:val="center"/>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MILTON JONATHAN MARTINEZ RODRIGUEZ     JUANA ESMERALDA CRUZ DE SANDOVAL                                                                                                                                                                                                               </w:t>
      </w: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            REGIDOR SUPLENTE                                                 REGIDORA SUPLENTE</w:t>
      </w: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 JOSE ARAMI PANIAGUA QUIJADA                           DELIA YANIRA CALDERON VELASQUEZ</w:t>
      </w: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 xml:space="preserve">  REGIDOR SUPLENTE                                                              REGIDORA SUPLENTE                                                             </w:t>
      </w:r>
    </w:p>
    <w:p w:rsidR="00FC6548" w:rsidRPr="00FC6548" w:rsidRDefault="00FC6548" w:rsidP="00FC6548">
      <w:pPr>
        <w:spacing w:after="0" w:line="240" w:lineRule="auto"/>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jc w:val="center"/>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jc w:val="center"/>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jc w:val="center"/>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jc w:val="center"/>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jc w:val="center"/>
        <w:rPr>
          <w:rFonts w:ascii="Arial" w:eastAsia="Times New Roman" w:hAnsi="Arial" w:cs="Arial"/>
          <w:b/>
          <w:color w:val="000000" w:themeColor="text1"/>
          <w:sz w:val="20"/>
          <w:szCs w:val="20"/>
          <w:lang w:eastAsia="es-ES"/>
        </w:rPr>
      </w:pPr>
    </w:p>
    <w:p w:rsidR="00FC6548" w:rsidRPr="00FC6548" w:rsidRDefault="00FC6548" w:rsidP="00FC6548">
      <w:pPr>
        <w:spacing w:after="0" w:line="240" w:lineRule="auto"/>
        <w:jc w:val="center"/>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SILVIA NOEMY AYALA GUILLEN</w:t>
      </w:r>
    </w:p>
    <w:p w:rsidR="00FC6548" w:rsidRPr="00FC6548" w:rsidRDefault="00FC6548" w:rsidP="00FC6548">
      <w:pPr>
        <w:spacing w:after="0" w:line="240" w:lineRule="auto"/>
        <w:jc w:val="center"/>
        <w:rPr>
          <w:rFonts w:ascii="Arial" w:eastAsia="Times New Roman" w:hAnsi="Arial" w:cs="Arial"/>
          <w:b/>
          <w:color w:val="000000" w:themeColor="text1"/>
          <w:sz w:val="20"/>
          <w:szCs w:val="20"/>
          <w:lang w:eastAsia="es-ES"/>
        </w:rPr>
      </w:pPr>
      <w:r w:rsidRPr="00FC6548">
        <w:rPr>
          <w:rFonts w:ascii="Arial" w:eastAsia="Times New Roman" w:hAnsi="Arial" w:cs="Arial"/>
          <w:b/>
          <w:color w:val="000000" w:themeColor="text1"/>
          <w:sz w:val="20"/>
          <w:szCs w:val="20"/>
          <w:lang w:eastAsia="es-ES"/>
        </w:rPr>
        <w:t>SECRETARIA DEL CONCEJO</w:t>
      </w:r>
    </w:p>
    <w:p w:rsidR="00FC6548" w:rsidRPr="00FC6548" w:rsidRDefault="00FC6548" w:rsidP="00FC6548">
      <w:pPr>
        <w:spacing w:after="0" w:line="240" w:lineRule="auto"/>
        <w:rPr>
          <w:rFonts w:ascii="Times New Roman" w:eastAsia="Times New Roman" w:hAnsi="Times New Roman" w:cs="Times New Roman"/>
          <w:sz w:val="24"/>
          <w:szCs w:val="24"/>
          <w:lang w:eastAsia="es-ES"/>
        </w:rPr>
      </w:pP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48"/>
    <w:rsid w:val="007B2684"/>
    <w:rsid w:val="00FC65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373D1-D3C0-43D9-A55F-983E8B87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C6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5204</Words>
  <Characters>28625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2019-04-15T15:00:00Z</cp:lastPrinted>
  <dcterms:created xsi:type="dcterms:W3CDTF">2019-04-15T14:59:00Z</dcterms:created>
  <dcterms:modified xsi:type="dcterms:W3CDTF">2019-04-15T15:00:00Z</dcterms:modified>
</cp:coreProperties>
</file>