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89DD5" w14:textId="77777777" w:rsidR="001003C5" w:rsidRPr="00EA3468" w:rsidRDefault="001003C5" w:rsidP="001003C5">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14:paraId="0EFBF4CF" w14:textId="77777777" w:rsidR="001003C5" w:rsidRPr="000C7CF2" w:rsidRDefault="001003C5" w:rsidP="001003C5">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14:paraId="72EB698F" w14:textId="77777777" w:rsidR="001003C5" w:rsidRDefault="001003C5" w:rsidP="001003C5">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012/05/2021</w:t>
      </w:r>
    </w:p>
    <w:p w14:paraId="4C3D9446" w14:textId="77777777" w:rsidR="001003C5" w:rsidRDefault="001003C5" w:rsidP="001003C5">
      <w:pPr>
        <w:shd w:val="clear" w:color="auto" w:fill="FFFFFF"/>
        <w:spacing w:after="0" w:line="360" w:lineRule="auto"/>
        <w:jc w:val="both"/>
        <w:rPr>
          <w:rFonts w:ascii="Century Gothic" w:eastAsia="Times New Roman" w:hAnsi="Century Gothic" w:cs="Arial"/>
          <w:b/>
          <w:sz w:val="20"/>
          <w:szCs w:val="20"/>
        </w:rPr>
      </w:pPr>
    </w:p>
    <w:p w14:paraId="716E2F0C" w14:textId="77777777" w:rsidR="001003C5" w:rsidRPr="00BF7E2C" w:rsidRDefault="001003C5" w:rsidP="001003C5">
      <w:pPr>
        <w:shd w:val="clear" w:color="auto" w:fill="FFFFFF"/>
        <w:spacing w:after="0" w:line="360" w:lineRule="auto"/>
        <w:jc w:val="both"/>
        <w:rPr>
          <w:rFonts w:ascii="Century Gothic" w:eastAsia="Times New Roman" w:hAnsi="Century Gothic" w:cs="Tahoma"/>
          <w:sz w:val="20"/>
          <w:szCs w:val="20"/>
        </w:rPr>
      </w:pPr>
      <w:r>
        <w:rPr>
          <w:rFonts w:ascii="Century Gothic" w:eastAsia="Times New Roman" w:hAnsi="Century Gothic" w:cs="Arial"/>
          <w:b/>
          <w:sz w:val="20"/>
          <w:szCs w:val="20"/>
        </w:rPr>
        <w:t>ALCALDIA MUNICIPAL DE METAPÁN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r>
        <w:rPr>
          <w:rFonts w:ascii="Century Gothic" w:eastAsia="Times New Roman" w:hAnsi="Century Gothic" w:cs="Arial"/>
          <w:sz w:val="20"/>
          <w:szCs w:val="20"/>
        </w:rPr>
        <w:t>Metapán</w:t>
      </w:r>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once horas </w:t>
      </w:r>
      <w:r w:rsidRPr="00BF7E2C">
        <w:rPr>
          <w:rFonts w:ascii="Century Gothic" w:eastAsia="Times New Roman" w:hAnsi="Century Gothic" w:cs="Arial"/>
          <w:sz w:val="20"/>
          <w:szCs w:val="20"/>
        </w:rPr>
        <w:t>del día</w:t>
      </w:r>
      <w:r>
        <w:rPr>
          <w:rFonts w:ascii="Century Gothic" w:eastAsia="Times New Roman" w:hAnsi="Century Gothic" w:cs="Arial"/>
          <w:sz w:val="20"/>
          <w:szCs w:val="20"/>
        </w:rPr>
        <w:t xml:space="preserve"> doce de mayo </w:t>
      </w:r>
      <w:r w:rsidRPr="00BF7E2C">
        <w:rPr>
          <w:rFonts w:ascii="Century Gothic" w:eastAsia="Times New Roman" w:hAnsi="Century Gothic" w:cs="Arial"/>
          <w:sz w:val="20"/>
          <w:szCs w:val="20"/>
        </w:rPr>
        <w:t>de dos mil veintiuno.</w:t>
      </w:r>
    </w:p>
    <w:p w14:paraId="2B0FD599" w14:textId="77777777" w:rsidR="001003C5" w:rsidRDefault="001003C5" w:rsidP="001003C5">
      <w:pPr>
        <w:spacing w:after="0" w:line="360" w:lineRule="auto"/>
        <w:jc w:val="both"/>
        <w:rPr>
          <w:rFonts w:ascii="Century Gothic" w:eastAsia="Times New Roman" w:hAnsi="Century Gothic" w:cs="Arial"/>
          <w:color w:val="000000"/>
          <w:sz w:val="20"/>
          <w:szCs w:val="20"/>
        </w:rPr>
      </w:pPr>
    </w:p>
    <w:p w14:paraId="19821A56" w14:textId="77777777" w:rsidR="001003C5" w:rsidRPr="00C50DD3" w:rsidRDefault="001003C5" w:rsidP="001003C5">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14:paraId="2F392139" w14:textId="2E7A4BC4"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r w:rsidRPr="00332120">
        <w:rPr>
          <w:rFonts w:ascii="Century Gothic" w:hAnsi="Century Gothic"/>
          <w:color w:val="000000"/>
          <w:sz w:val="20"/>
          <w:szCs w:val="20"/>
        </w:rPr>
        <w:t>A</w:t>
      </w:r>
      <w:r>
        <w:rPr>
          <w:rFonts w:ascii="Century Gothic" w:hAnsi="Century Gothic"/>
          <w:color w:val="000000"/>
          <w:sz w:val="20"/>
          <w:szCs w:val="20"/>
        </w:rPr>
        <w:t xml:space="preserve"> las  nueve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con doce minutos </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once de mayo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332120">
        <w:rPr>
          <w:rFonts w:ascii="Century Gothic" w:eastAsia="Times New Roman" w:hAnsi="Century Gothic" w:cs="Arial"/>
          <w:sz w:val="20"/>
          <w:szCs w:val="20"/>
        </w:rPr>
        <w:t>,</w:t>
      </w:r>
      <w:r w:rsidRPr="00332120">
        <w:rPr>
          <w:rFonts w:ascii="Century Gothic" w:hAnsi="Century Gothic"/>
          <w:color w:val="000000"/>
          <w:sz w:val="20"/>
          <w:szCs w:val="20"/>
        </w:rPr>
        <w:t xml:space="preserve"> se recibió Solicitud de Acceso de Información</w:t>
      </w:r>
      <w:r w:rsidRPr="00332120">
        <w:rPr>
          <w:rFonts w:ascii="Century Gothic" w:eastAsia="Times New Roman" w:hAnsi="Century Gothic" w:cs="Arial"/>
          <w:color w:val="000000"/>
          <w:sz w:val="20"/>
          <w:szCs w:val="20"/>
        </w:rPr>
        <w:t>,</w:t>
      </w:r>
      <w:r>
        <w:rPr>
          <w:rFonts w:ascii="Century Gothic" w:eastAsia="Times New Roman" w:hAnsi="Century Gothic" w:cs="Arial"/>
          <w:color w:val="000000"/>
          <w:sz w:val="20"/>
          <w:szCs w:val="20"/>
        </w:rPr>
        <w:t xml:space="preserve"> </w:t>
      </w:r>
      <w:r w:rsidRPr="007A0F2D">
        <w:rPr>
          <w:rFonts w:ascii="Century Gothic" w:hAnsi="Century Gothic" w:cs="Calibri"/>
          <w:sz w:val="20"/>
          <w:szCs w:val="20"/>
        </w:rPr>
        <w:t xml:space="preserve">por </w:t>
      </w:r>
      <w:r>
        <w:rPr>
          <w:rFonts w:ascii="Century Gothic" w:hAnsi="Century Gothic" w:cs="Calibri"/>
          <w:sz w:val="20"/>
          <w:szCs w:val="20"/>
        </w:rPr>
        <w:t>el</w:t>
      </w:r>
      <w:r w:rsidRPr="007A0F2D">
        <w:rPr>
          <w:rFonts w:ascii="Century Gothic" w:hAnsi="Century Gothic" w:cs="Calibri"/>
          <w:sz w:val="20"/>
          <w:szCs w:val="20"/>
        </w:rPr>
        <w:t xml:space="preserve"> usuari</w:t>
      </w:r>
      <w:r>
        <w:rPr>
          <w:rFonts w:ascii="Century Gothic" w:hAnsi="Century Gothic" w:cs="Calibri"/>
          <w:sz w:val="20"/>
          <w:szCs w:val="20"/>
        </w:rPr>
        <w:t xml:space="preserve">o </w:t>
      </w:r>
      <w:r>
        <w:rPr>
          <w:rFonts w:ascii="Century Gothic" w:hAnsi="Century Gothic" w:cs="Calibri"/>
          <w:b/>
          <w:bCs/>
          <w:w w:val="102"/>
          <w:sz w:val="20"/>
          <w:szCs w:val="20"/>
        </w:rPr>
        <w:t>Kelvin Ernesto García Calderón,</w:t>
      </w:r>
      <w:r w:rsidRPr="007A0F2D">
        <w:rPr>
          <w:rFonts w:ascii="Century Gothic" w:hAnsi="Century Gothic" w:cs="Calibri"/>
          <w:w w:val="102"/>
          <w:sz w:val="20"/>
          <w:szCs w:val="20"/>
        </w:rPr>
        <w:t xml:space="preserve"> </w:t>
      </w:r>
      <w:r>
        <w:rPr>
          <w:rFonts w:ascii="Century Gothic" w:hAnsi="Century Gothic" w:cs="Calibri"/>
          <w:w w:val="102"/>
          <w:sz w:val="20"/>
          <w:szCs w:val="20"/>
        </w:rPr>
        <w:t xml:space="preserve">empleado </w:t>
      </w:r>
      <w:r w:rsidRPr="007A0F2D">
        <w:rPr>
          <w:rFonts w:ascii="Century Gothic" w:hAnsi="Century Gothic" w:cs="Calibri"/>
          <w:w w:val="102"/>
          <w:sz w:val="20"/>
          <w:szCs w:val="20"/>
        </w:rPr>
        <w:t xml:space="preserve">del domicilio de </w:t>
      </w:r>
      <w:r>
        <w:rPr>
          <w:rFonts w:ascii="Century Gothic" w:hAnsi="Century Gothic" w:cs="Calibri"/>
          <w:w w:val="102"/>
          <w:sz w:val="20"/>
          <w:szCs w:val="20"/>
        </w:rPr>
        <w:t>Metapán departamento</w:t>
      </w:r>
      <w:r w:rsidRPr="007A0F2D">
        <w:rPr>
          <w:rFonts w:ascii="Century Gothic" w:hAnsi="Century Gothic" w:cs="Calibri"/>
          <w:w w:val="102"/>
          <w:sz w:val="20"/>
          <w:szCs w:val="20"/>
        </w:rPr>
        <w:t xml:space="preserve"> </w:t>
      </w:r>
      <w:r>
        <w:rPr>
          <w:rFonts w:ascii="Century Gothic" w:hAnsi="Century Gothic" w:cs="Calibri"/>
          <w:w w:val="102"/>
          <w:sz w:val="20"/>
          <w:szCs w:val="20"/>
        </w:rPr>
        <w:t>de Santa Ana</w:t>
      </w:r>
      <w:r w:rsidRPr="007A0F2D">
        <w:rPr>
          <w:rFonts w:ascii="Century Gothic" w:hAnsi="Century Gothic" w:cs="Calibri"/>
          <w:w w:val="102"/>
          <w:sz w:val="20"/>
          <w:szCs w:val="20"/>
        </w:rPr>
        <w:t>,</w:t>
      </w:r>
      <w:r w:rsidRPr="007A0F2D">
        <w:rPr>
          <w:rFonts w:ascii="Century Gothic" w:hAnsi="Century Gothic"/>
          <w:color w:val="000000" w:themeColor="text1"/>
          <w:sz w:val="20"/>
          <w:szCs w:val="20"/>
          <w:lang w:eastAsia="en-US"/>
        </w:rPr>
        <w:t xml:space="preserve"> portador de su Documento Único de Identidad </w:t>
      </w:r>
      <w:r w:rsidR="00DA5C45">
        <w:rPr>
          <w:rFonts w:ascii="Century Gothic" w:hAnsi="Century Gothic"/>
          <w:color w:val="000000" w:themeColor="text1"/>
          <w:sz w:val="20"/>
          <w:szCs w:val="20"/>
          <w:lang w:eastAsia="en-US"/>
        </w:rPr>
        <w:t>xxxxxxxxx</w:t>
      </w:r>
      <w:r w:rsidRPr="007A0F2D">
        <w:rPr>
          <w:rFonts w:ascii="Century Gothic" w:hAnsi="Century Gothic"/>
          <w:color w:val="000000" w:themeColor="text1"/>
          <w:sz w:val="20"/>
          <w:szCs w:val="20"/>
          <w:lang w:eastAsia="en-US"/>
        </w:rPr>
        <w:t>,</w:t>
      </w:r>
      <w:r w:rsidRPr="007A0F2D">
        <w:rPr>
          <w:rFonts w:ascii="Century Gothic" w:hAnsi="Century Gothic"/>
          <w:color w:val="000000" w:themeColor="text1"/>
          <w:sz w:val="20"/>
          <w:szCs w:val="20"/>
        </w:rPr>
        <w:t xml:space="preserve"> </w:t>
      </w:r>
      <w:r w:rsidRPr="007A0F2D">
        <w:rPr>
          <w:rFonts w:ascii="Century Gothic" w:eastAsia="Batang" w:hAnsi="Century Gothic" w:cs="Tahoma"/>
          <w:bCs/>
          <w:color w:val="000000"/>
          <w:sz w:val="20"/>
          <w:szCs w:val="20"/>
          <w:lang w:val="es-MX"/>
        </w:rPr>
        <w:t>quien actúa en su calidad de persona natural;</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quien</w:t>
      </w:r>
      <w:r w:rsidRPr="007A0F2D">
        <w:rPr>
          <w:rFonts w:ascii="Century Gothic" w:hAnsi="Century Gothic"/>
          <w:color w:val="000000" w:themeColor="text1"/>
          <w:sz w:val="20"/>
          <w:szCs w:val="20"/>
        </w:rPr>
        <w:t xml:space="preserve"> interpuso una Solicitud de Acceso a la Información Pública, vía </w:t>
      </w:r>
      <w:r>
        <w:rPr>
          <w:rFonts w:ascii="Century Gothic" w:hAnsi="Century Gothic"/>
          <w:color w:val="000000" w:themeColor="text1"/>
          <w:sz w:val="20"/>
          <w:szCs w:val="20"/>
        </w:rPr>
        <w:t>emai</w:t>
      </w:r>
      <w:r w:rsidRPr="007A0F2D">
        <w:rPr>
          <w:rFonts w:ascii="Century Gothic" w:hAnsi="Century Gothic"/>
          <w:color w:val="000000" w:themeColor="text1"/>
          <w:sz w:val="20"/>
          <w:szCs w:val="20"/>
        </w:rPr>
        <w:t>l,</w:t>
      </w:r>
      <w:r w:rsidRPr="00900D95">
        <w:rPr>
          <w:rFonts w:ascii="Century Gothic" w:hAnsi="Century Gothic"/>
          <w:color w:val="000000" w:themeColor="text1"/>
          <w:sz w:val="20"/>
          <w:szCs w:val="20"/>
        </w:rPr>
        <w:t xml:space="preserve"> </w:t>
      </w:r>
      <w:r>
        <w:rPr>
          <w:rFonts w:ascii="Century Gothic" w:hAnsi="Century Gothic"/>
          <w:color w:val="000000" w:themeColor="text1"/>
          <w:sz w:val="20"/>
          <w:szCs w:val="20"/>
        </w:rPr>
        <w:t xml:space="preserve">a  las diecisiete </w:t>
      </w:r>
      <w:r w:rsidRPr="007A0F2D">
        <w:rPr>
          <w:rFonts w:ascii="Century Gothic" w:hAnsi="Century Gothic"/>
          <w:color w:val="000000" w:themeColor="text1"/>
          <w:sz w:val="20"/>
          <w:szCs w:val="20"/>
        </w:rPr>
        <w:t>horas</w:t>
      </w:r>
      <w:r>
        <w:rPr>
          <w:rFonts w:ascii="Century Gothic" w:hAnsi="Century Gothic"/>
          <w:color w:val="000000" w:themeColor="text1"/>
          <w:sz w:val="20"/>
          <w:szCs w:val="20"/>
        </w:rPr>
        <w:t xml:space="preserve"> doce minutos</w:t>
      </w:r>
      <w:r w:rsidRPr="007A0F2D">
        <w:rPr>
          <w:rFonts w:ascii="Century Gothic" w:hAnsi="Century Gothic"/>
          <w:color w:val="000000" w:themeColor="text1"/>
          <w:sz w:val="20"/>
          <w:szCs w:val="20"/>
        </w:rPr>
        <w:t xml:space="preserve">, del día </w:t>
      </w:r>
      <w:r>
        <w:rPr>
          <w:rFonts w:ascii="Century Gothic" w:hAnsi="Century Gothic"/>
          <w:color w:val="000000" w:themeColor="text1"/>
          <w:sz w:val="20"/>
          <w:szCs w:val="20"/>
        </w:rPr>
        <w:t>siete de</w:t>
      </w:r>
      <w:r w:rsidRPr="007A0F2D">
        <w:rPr>
          <w:rFonts w:ascii="Century Gothic" w:hAnsi="Century Gothic"/>
          <w:color w:val="000000" w:themeColor="text1"/>
          <w:sz w:val="20"/>
          <w:szCs w:val="20"/>
        </w:rPr>
        <w:t xml:space="preserve"> </w:t>
      </w:r>
      <w:r>
        <w:rPr>
          <w:rFonts w:ascii="Century Gothic" w:hAnsi="Century Gothic"/>
          <w:color w:val="000000" w:themeColor="text1"/>
          <w:sz w:val="20"/>
          <w:szCs w:val="20"/>
        </w:rPr>
        <w:t>mayo</w:t>
      </w:r>
      <w:r w:rsidRPr="007A0F2D">
        <w:rPr>
          <w:rFonts w:ascii="Century Gothic" w:hAnsi="Century Gothic"/>
          <w:color w:val="000000" w:themeColor="text1"/>
          <w:sz w:val="20"/>
          <w:szCs w:val="20"/>
        </w:rPr>
        <w:t xml:space="preserve"> de dos mil veint</w:t>
      </w:r>
      <w:r>
        <w:rPr>
          <w:rFonts w:ascii="Century Gothic" w:hAnsi="Century Gothic"/>
          <w:color w:val="000000" w:themeColor="text1"/>
          <w:sz w:val="20"/>
          <w:szCs w:val="20"/>
        </w:rPr>
        <w:t>iuno</w:t>
      </w:r>
      <w:r w:rsidRPr="007A0F2D">
        <w:rPr>
          <w:rFonts w:ascii="Century Gothic" w:hAnsi="Century Gothic"/>
          <w:color w:val="000000" w:themeColor="text1"/>
          <w:sz w:val="20"/>
          <w:szCs w:val="20"/>
        </w:rPr>
        <w:t xml:space="preserve">, solicitando la información siguiente: </w:t>
      </w:r>
    </w:p>
    <w:p w14:paraId="3DBC423A" w14:textId="77777777"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7A457F96" w14:textId="77777777" w:rsidR="001003C5" w:rsidRDefault="001003C5" w:rsidP="001003C5">
      <w:pPr>
        <w:pStyle w:val="Prrafodelista"/>
        <w:widowControl w:val="0"/>
        <w:numPr>
          <w:ilvl w:val="0"/>
          <w:numId w:val="4"/>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Detalle de las ventas de cemento empacado de las siguientes marcas: portland fuerte cuscatlan, Holcim 5000, Holcim pav y Holcim ari de los meses de enero y febrero del año 2021 de la empresa HOLCIM</w:t>
      </w:r>
    </w:p>
    <w:p w14:paraId="573C997F" w14:textId="77777777"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4AD98EA7" w14:textId="77777777"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17427DA1" w14:textId="77777777"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6CDA3E9C" w14:textId="77777777" w:rsidR="001003C5" w:rsidRPr="0072361B" w:rsidRDefault="001003C5" w:rsidP="001003C5">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 xml:space="preserve">Mediante auto </w:t>
      </w:r>
      <w:r>
        <w:rPr>
          <w:rFonts w:ascii="Century Gothic" w:eastAsia="Times New Roman" w:hAnsi="Century Gothic" w:cs="Arial"/>
          <w:sz w:val="20"/>
          <w:szCs w:val="20"/>
        </w:rPr>
        <w:t>de las</w:t>
      </w:r>
      <w:r w:rsidRPr="007A0F2D">
        <w:rPr>
          <w:rFonts w:ascii="Century Gothic" w:eastAsia="Times New Roman" w:hAnsi="Century Gothic" w:cs="Arial"/>
          <w:sz w:val="20"/>
          <w:szCs w:val="20"/>
        </w:rPr>
        <w:t xml:space="preserve"> </w:t>
      </w:r>
      <w:r>
        <w:rPr>
          <w:rFonts w:ascii="Century Gothic" w:eastAsia="Times New Roman" w:hAnsi="Century Gothic" w:cs="Arial"/>
          <w:sz w:val="20"/>
          <w:szCs w:val="20"/>
        </w:rPr>
        <w:t>diez</w:t>
      </w:r>
      <w:r w:rsidRPr="007A0F2D">
        <w:rPr>
          <w:rFonts w:ascii="Century Gothic" w:eastAsia="Times New Roman" w:hAnsi="Century Gothic" w:cs="Arial"/>
          <w:sz w:val="20"/>
          <w:szCs w:val="20"/>
        </w:rPr>
        <w:t xml:space="preserve"> horas cinco minutos del día </w:t>
      </w:r>
      <w:r>
        <w:rPr>
          <w:rFonts w:ascii="Century Gothic" w:eastAsia="Times New Roman" w:hAnsi="Century Gothic" w:cs="Arial"/>
          <w:sz w:val="20"/>
          <w:szCs w:val="20"/>
        </w:rPr>
        <w:t>once</w:t>
      </w:r>
      <w:r w:rsidRPr="007A0F2D">
        <w:rPr>
          <w:rFonts w:ascii="Century Gothic" w:eastAsia="Times New Roman" w:hAnsi="Century Gothic" w:cs="Arial"/>
          <w:sz w:val="20"/>
          <w:szCs w:val="20"/>
        </w:rPr>
        <w:t xml:space="preserve"> de </w:t>
      </w:r>
      <w:r>
        <w:rPr>
          <w:rFonts w:ascii="Century Gothic" w:eastAsia="Times New Roman" w:hAnsi="Century Gothic" w:cs="Arial"/>
          <w:sz w:val="20"/>
          <w:szCs w:val="20"/>
        </w:rPr>
        <w:t>mayo</w:t>
      </w:r>
      <w:r w:rsidRPr="007A0F2D">
        <w:rPr>
          <w:rFonts w:ascii="Century Gothic" w:eastAsia="Times New Roman" w:hAnsi="Century Gothic" w:cs="Arial"/>
          <w:sz w:val="20"/>
          <w:szCs w:val="20"/>
        </w:rPr>
        <w:t xml:space="preserve"> de dos mil veint</w:t>
      </w:r>
      <w:r>
        <w:rPr>
          <w:rFonts w:ascii="Century Gothic" w:eastAsia="Times New Roman" w:hAnsi="Century Gothic" w:cs="Arial"/>
          <w:sz w:val="20"/>
          <w:szCs w:val="20"/>
        </w:rPr>
        <w:t>iuno</w:t>
      </w:r>
      <w:r>
        <w:rPr>
          <w:rFonts w:ascii="Century Gothic" w:hAnsi="Century Gothic" w:cs="Calibri"/>
          <w:color w:val="000000"/>
          <w:sz w:val="20"/>
          <w:szCs w:val="20"/>
        </w:rPr>
        <w:t>,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literal d) del RELAIP, se notificó de la admisión de la solicitud e inició del proceso de acceso a la información a partir de lo solicitado.</w:t>
      </w:r>
    </w:p>
    <w:p w14:paraId="0BA0DE90" w14:textId="77777777" w:rsidR="001003C5" w:rsidRPr="00C50DD3" w:rsidRDefault="001003C5" w:rsidP="001003C5">
      <w:pPr>
        <w:pStyle w:val="Textosinformato"/>
        <w:spacing w:line="360" w:lineRule="auto"/>
        <w:jc w:val="both"/>
        <w:rPr>
          <w:rFonts w:ascii="Century Gothic" w:hAnsi="Century Gothic" w:cs="Calibri"/>
          <w:b/>
          <w:color w:val="000000"/>
          <w:sz w:val="20"/>
          <w:szCs w:val="20"/>
          <w:u w:val="single"/>
        </w:rPr>
      </w:pPr>
    </w:p>
    <w:p w14:paraId="3586DF67" w14:textId="77777777" w:rsidR="001003C5" w:rsidRPr="00C50DD3" w:rsidRDefault="001003C5" w:rsidP="001003C5">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w:t>
      </w:r>
      <w:r w:rsidRPr="00C50DD3">
        <w:rPr>
          <w:rFonts w:ascii="Century Gothic" w:hAnsi="Century Gothic" w:cs="Arial"/>
          <w:sz w:val="20"/>
          <w:szCs w:val="20"/>
        </w:rPr>
        <w:lastRenderedPageBreak/>
        <w:t xml:space="preserve">dependencias correspondientes con el objeto de proporcionar la información prevista en la ley. </w:t>
      </w:r>
    </w:p>
    <w:p w14:paraId="123548E3" w14:textId="77777777" w:rsidR="001003C5" w:rsidRPr="00C50DD3" w:rsidRDefault="001003C5" w:rsidP="001003C5">
      <w:pPr>
        <w:spacing w:after="0" w:line="360" w:lineRule="auto"/>
        <w:jc w:val="both"/>
        <w:rPr>
          <w:rFonts w:ascii="Century Gothic" w:hAnsi="Century Gothic" w:cs="Arial"/>
          <w:sz w:val="20"/>
          <w:szCs w:val="20"/>
        </w:rPr>
      </w:pPr>
    </w:p>
    <w:p w14:paraId="2139F778" w14:textId="77777777" w:rsidR="001003C5" w:rsidRPr="00C50DD3" w:rsidRDefault="001003C5" w:rsidP="001003C5">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14:paraId="47D7899D" w14:textId="77777777" w:rsidR="001003C5" w:rsidRPr="00C50DD3" w:rsidRDefault="001003C5" w:rsidP="001003C5">
      <w:pPr>
        <w:spacing w:after="0" w:line="360" w:lineRule="auto"/>
        <w:jc w:val="both"/>
        <w:rPr>
          <w:rFonts w:ascii="Century Gothic" w:hAnsi="Century Gothic" w:cs="Calibri"/>
          <w:b/>
          <w:color w:val="000000"/>
          <w:sz w:val="20"/>
          <w:szCs w:val="20"/>
          <w:u w:val="single"/>
        </w:rPr>
      </w:pPr>
    </w:p>
    <w:p w14:paraId="32C72FC4" w14:textId="77777777" w:rsidR="001003C5" w:rsidRPr="00C50DD3" w:rsidRDefault="001003C5" w:rsidP="001003C5">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14:paraId="1E8042FA" w14:textId="77777777" w:rsidR="001003C5" w:rsidRPr="00C50DD3" w:rsidRDefault="001003C5" w:rsidP="001003C5">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w:t>
      </w:r>
      <w:r>
        <w:rPr>
          <w:rFonts w:ascii="Century Gothic" w:hAnsi="Century Gothic"/>
          <w:color w:val="000000"/>
          <w:sz w:val="20"/>
          <w:szCs w:val="20"/>
        </w:rPr>
        <w:t xml:space="preserve">co del Estado de Derecho </w:t>
      </w:r>
      <w:r w:rsidRPr="00C50DD3">
        <w:rPr>
          <w:rFonts w:ascii="Century Gothic" w:hAnsi="Century Gothic"/>
          <w:color w:val="000000"/>
          <w:sz w:val="20"/>
          <w:szCs w:val="20"/>
        </w:rPr>
        <w:t xml:space="preserve">de la </w:t>
      </w:r>
      <w:r>
        <w:rPr>
          <w:rFonts w:ascii="Century Gothic" w:hAnsi="Century Gothic"/>
          <w:color w:val="000000"/>
          <w:sz w:val="20"/>
          <w:szCs w:val="20"/>
        </w:rPr>
        <w:t xml:space="preserve">República como forma de Estado </w:t>
      </w:r>
      <w:r w:rsidRPr="00C50DD3">
        <w:rPr>
          <w:rFonts w:ascii="Century Gothic" w:hAnsi="Century Gothic"/>
          <w:color w:val="000000"/>
          <w:sz w:val="20"/>
          <w:szCs w:val="20"/>
        </w:rPr>
        <w:t xml:space="preserve">(Art. 85 Cn.)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14:paraId="39964351" w14:textId="77777777" w:rsidR="001003C5" w:rsidRDefault="001003C5" w:rsidP="001003C5">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4A153BD" w14:textId="77777777" w:rsidR="001003C5" w:rsidRPr="00C50DD3" w:rsidRDefault="001003C5" w:rsidP="001003C5">
      <w:pPr>
        <w:spacing w:after="0" w:line="360" w:lineRule="auto"/>
        <w:jc w:val="both"/>
        <w:rPr>
          <w:rFonts w:ascii="Century Gothic" w:hAnsi="Century Gothic"/>
          <w:color w:val="000000"/>
          <w:sz w:val="20"/>
          <w:szCs w:val="20"/>
        </w:rPr>
      </w:pPr>
    </w:p>
    <w:p w14:paraId="4C166748" w14:textId="77777777" w:rsidR="001003C5" w:rsidRDefault="001003C5" w:rsidP="001003C5">
      <w:pPr>
        <w:widowControl w:val="0"/>
        <w:autoSpaceDE w:val="0"/>
        <w:autoSpaceDN w:val="0"/>
        <w:adjustRightInd w:val="0"/>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w:t>
      </w:r>
      <w:r>
        <w:rPr>
          <w:rFonts w:ascii="Century Gothic" w:hAnsi="Century Gothic"/>
          <w:color w:val="000000"/>
          <w:sz w:val="20"/>
          <w:szCs w:val="20"/>
        </w:rPr>
        <w:t>analizo la solicitud de información el objeto localizar</w:t>
      </w:r>
      <w:r w:rsidRPr="00C50DD3">
        <w:rPr>
          <w:rFonts w:ascii="Century Gothic" w:hAnsi="Century Gothic"/>
          <w:color w:val="000000"/>
          <w:sz w:val="20"/>
          <w:szCs w:val="20"/>
        </w:rPr>
        <w:t>, verifi</w:t>
      </w:r>
      <w:r>
        <w:rPr>
          <w:rFonts w:ascii="Century Gothic" w:hAnsi="Century Gothic"/>
          <w:color w:val="000000"/>
          <w:sz w:val="20"/>
          <w:szCs w:val="20"/>
        </w:rPr>
        <w:t>car su clasificación y comunicar la manera en la que se</w:t>
      </w:r>
      <w:r w:rsidRPr="00C50DD3">
        <w:rPr>
          <w:rFonts w:ascii="Century Gothic" w:hAnsi="Century Gothic"/>
          <w:color w:val="000000"/>
          <w:sz w:val="20"/>
          <w:szCs w:val="20"/>
        </w:rPr>
        <w:t xml:space="preserve"> tiene disponible</w:t>
      </w:r>
      <w:r>
        <w:rPr>
          <w:rFonts w:ascii="Century Gothic" w:hAnsi="Century Gothic"/>
          <w:color w:val="000000"/>
          <w:sz w:val="20"/>
          <w:szCs w:val="20"/>
        </w:rPr>
        <w:t xml:space="preserve"> o en su caso su inexistencia o causal de reserva de la información;</w:t>
      </w:r>
      <w:r w:rsidRPr="00C50DD3">
        <w:rPr>
          <w:rFonts w:ascii="Century Gothic" w:hAnsi="Century Gothic"/>
          <w:color w:val="000000"/>
          <w:sz w:val="20"/>
          <w:szCs w:val="20"/>
        </w:rPr>
        <w:t xml:space="preserve"> la cual detallo a continuación: </w:t>
      </w:r>
    </w:p>
    <w:p w14:paraId="12850508" w14:textId="77777777" w:rsidR="001003C5" w:rsidRDefault="001003C5" w:rsidP="001003C5">
      <w:pPr>
        <w:widowControl w:val="0"/>
        <w:autoSpaceDE w:val="0"/>
        <w:autoSpaceDN w:val="0"/>
        <w:adjustRightInd w:val="0"/>
        <w:spacing w:after="0" w:line="360" w:lineRule="auto"/>
        <w:jc w:val="both"/>
        <w:rPr>
          <w:rFonts w:ascii="Century Gothic" w:hAnsi="Century Gothic"/>
          <w:color w:val="000000"/>
          <w:sz w:val="20"/>
          <w:szCs w:val="20"/>
        </w:rPr>
      </w:pPr>
    </w:p>
    <w:p w14:paraId="141ECF83" w14:textId="77777777" w:rsidR="001003C5" w:rsidRDefault="001003C5" w:rsidP="001003C5">
      <w:pPr>
        <w:pStyle w:val="Prrafodelista"/>
        <w:widowControl w:val="0"/>
        <w:numPr>
          <w:ilvl w:val="0"/>
          <w:numId w:val="4"/>
        </w:numPr>
        <w:autoSpaceDE w:val="0"/>
        <w:autoSpaceDN w:val="0"/>
        <w:adjustRightInd w:val="0"/>
        <w:spacing w:after="0"/>
        <w:jc w:val="both"/>
        <w:rPr>
          <w:rFonts w:ascii="Century Gothic" w:hAnsi="Century Gothic"/>
          <w:b/>
          <w:bCs/>
          <w:color w:val="000000" w:themeColor="text1"/>
          <w:sz w:val="20"/>
          <w:szCs w:val="20"/>
        </w:rPr>
      </w:pPr>
      <w:r>
        <w:rPr>
          <w:rFonts w:ascii="Century Gothic" w:hAnsi="Century Gothic"/>
          <w:b/>
          <w:bCs/>
          <w:color w:val="000000" w:themeColor="text1"/>
          <w:sz w:val="20"/>
          <w:szCs w:val="20"/>
        </w:rPr>
        <w:t>Detalle de las ventas de cemento empacado de las siguientes marcas: portland fuerte cuscatlan, Holcim 5000, Holcim pav y Holcim ari de los meses de enero y febrero del año 2021 de la empresa HOLCIM</w:t>
      </w:r>
    </w:p>
    <w:p w14:paraId="7D0B92A1" w14:textId="77777777" w:rsidR="001003C5"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4005139D" w14:textId="77777777" w:rsidR="001003C5" w:rsidRDefault="001003C5" w:rsidP="001003C5">
      <w:pPr>
        <w:widowControl w:val="0"/>
        <w:autoSpaceDE w:val="0"/>
        <w:autoSpaceDN w:val="0"/>
        <w:adjustRightInd w:val="0"/>
        <w:spacing w:after="0" w:line="360" w:lineRule="auto"/>
        <w:jc w:val="both"/>
        <w:rPr>
          <w:rFonts w:ascii="Century Gothic" w:hAnsi="Century Gothic"/>
          <w:color w:val="000000"/>
          <w:sz w:val="20"/>
          <w:szCs w:val="20"/>
        </w:rPr>
      </w:pPr>
    </w:p>
    <w:p w14:paraId="1DCE41E2" w14:textId="77777777" w:rsidR="001003C5" w:rsidRDefault="001003C5" w:rsidP="001003C5">
      <w:pPr>
        <w:widowControl w:val="0"/>
        <w:autoSpaceDE w:val="0"/>
        <w:autoSpaceDN w:val="0"/>
        <w:adjustRightInd w:val="0"/>
        <w:spacing w:after="0" w:line="360" w:lineRule="auto"/>
        <w:jc w:val="both"/>
        <w:rPr>
          <w:rFonts w:ascii="Century Gothic" w:hAnsi="Century Gothic"/>
          <w:color w:val="000000"/>
          <w:sz w:val="20"/>
          <w:szCs w:val="20"/>
        </w:rPr>
      </w:pPr>
      <w:r>
        <w:rPr>
          <w:rFonts w:ascii="Century Gothic" w:hAnsi="Century Gothic"/>
          <w:color w:val="000000"/>
          <w:sz w:val="20"/>
          <w:szCs w:val="20"/>
        </w:rPr>
        <w:t xml:space="preserve"> </w:t>
      </w:r>
    </w:p>
    <w:p w14:paraId="0CC23865" w14:textId="77777777" w:rsidR="001003C5" w:rsidRPr="009C4EAD" w:rsidRDefault="001003C5" w:rsidP="001003C5">
      <w:pPr>
        <w:autoSpaceDE w:val="0"/>
        <w:autoSpaceDN w:val="0"/>
        <w:adjustRightInd w:val="0"/>
        <w:spacing w:after="0" w:line="360" w:lineRule="auto"/>
        <w:jc w:val="both"/>
        <w:rPr>
          <w:rFonts w:ascii="Century Gothic" w:hAnsi="Century Gothic"/>
          <w:b/>
          <w:color w:val="000000" w:themeColor="text1"/>
          <w:sz w:val="20"/>
          <w:szCs w:val="20"/>
        </w:rPr>
      </w:pPr>
    </w:p>
    <w:p w14:paraId="11FA4480" w14:textId="77777777" w:rsidR="001003C5" w:rsidRPr="009C4EAD" w:rsidRDefault="001003C5" w:rsidP="001003C5">
      <w:pPr>
        <w:autoSpaceDE w:val="0"/>
        <w:autoSpaceDN w:val="0"/>
        <w:adjustRightInd w:val="0"/>
        <w:spacing w:after="0" w:line="360" w:lineRule="auto"/>
        <w:jc w:val="both"/>
        <w:rPr>
          <w:rFonts w:ascii="Century Gothic" w:hAnsi="Century Gothic"/>
          <w:b/>
          <w:color w:val="000000" w:themeColor="text1"/>
          <w:sz w:val="20"/>
          <w:szCs w:val="20"/>
        </w:rPr>
      </w:pPr>
    </w:p>
    <w:p w14:paraId="492292C1" w14:textId="77777777" w:rsidR="001003C5" w:rsidRPr="005B0DD2" w:rsidRDefault="001003C5" w:rsidP="001003C5">
      <w:pPr>
        <w:widowControl w:val="0"/>
        <w:autoSpaceDE w:val="0"/>
        <w:autoSpaceDN w:val="0"/>
        <w:adjustRightInd w:val="0"/>
        <w:spacing w:after="0"/>
        <w:jc w:val="both"/>
        <w:rPr>
          <w:rFonts w:ascii="Century Gothic" w:hAnsi="Century Gothic"/>
          <w:b/>
          <w:bCs/>
          <w:color w:val="000000" w:themeColor="text1"/>
          <w:sz w:val="20"/>
          <w:szCs w:val="20"/>
        </w:rPr>
      </w:pPr>
      <w:r w:rsidRPr="005B0DD2">
        <w:rPr>
          <w:rFonts w:ascii="Century Gothic" w:hAnsi="Century Gothic"/>
          <w:b/>
          <w:bCs/>
          <w:color w:val="000000" w:themeColor="text1"/>
          <w:sz w:val="20"/>
          <w:szCs w:val="20"/>
        </w:rPr>
        <w:lastRenderedPageBreak/>
        <w:t xml:space="preserve"> </w:t>
      </w:r>
    </w:p>
    <w:p w14:paraId="4E64CF0D" w14:textId="77777777" w:rsidR="001003C5" w:rsidRPr="003C2F20" w:rsidRDefault="001003C5" w:rsidP="001003C5">
      <w:pPr>
        <w:widowControl w:val="0"/>
        <w:autoSpaceDE w:val="0"/>
        <w:autoSpaceDN w:val="0"/>
        <w:adjustRightInd w:val="0"/>
        <w:spacing w:after="0"/>
        <w:jc w:val="both"/>
        <w:rPr>
          <w:rFonts w:ascii="Century Gothic" w:hAnsi="Century Gothic"/>
          <w:color w:val="000000" w:themeColor="text1"/>
          <w:sz w:val="20"/>
          <w:szCs w:val="20"/>
        </w:rPr>
      </w:pPr>
    </w:p>
    <w:p w14:paraId="0C6816DE" w14:textId="77777777" w:rsidR="001003C5" w:rsidRDefault="001003C5" w:rsidP="001003C5">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w:t>
      </w:r>
      <w:r>
        <w:rPr>
          <w:rFonts w:ascii="Century Gothic" w:hAnsi="Century Gothic"/>
          <w:sz w:val="20"/>
          <w:szCs w:val="20"/>
        </w:rPr>
        <w:t>e la información que requiere el</w:t>
      </w:r>
      <w:r w:rsidRPr="00CF5B67">
        <w:rPr>
          <w:rFonts w:ascii="Century Gothic" w:hAnsi="Century Gothic"/>
          <w:sz w:val="20"/>
          <w:szCs w:val="20"/>
        </w:rPr>
        <w:t xml:space="preserve"> solicitante</w:t>
      </w:r>
      <w:r>
        <w:rPr>
          <w:rFonts w:ascii="Century Gothic" w:hAnsi="Century Gothic"/>
          <w:sz w:val="20"/>
          <w:szCs w:val="20"/>
        </w:rPr>
        <w:t xml:space="preserve"> </w:t>
      </w:r>
      <w:r w:rsidRPr="00CF5B67">
        <w:rPr>
          <w:rFonts w:ascii="Century Gothic" w:hAnsi="Century Gothic"/>
          <w:sz w:val="20"/>
          <w:szCs w:val="20"/>
        </w:rPr>
        <w:t>es información</w:t>
      </w:r>
      <w:r>
        <w:rPr>
          <w:rFonts w:ascii="Century Gothic" w:hAnsi="Century Gothic"/>
          <w:sz w:val="20"/>
          <w:szCs w:val="20"/>
        </w:rPr>
        <w:t xml:space="preserve">  confidencial de conformidad al artículo 24 literal “d” de la ley de acceso a la información pública  por lo que por medio de memorándum dirigido al  señor jefe de Unidad tributaria Municipal explica ese tipo de información es exclusiva de la  empresa HOLCIM en cuanto al pago de sus impuestos  tal cual lo cita la ley; por otra parte es de aclarar que ese tipo de información no es pública de conformidad al art. 2 de la Ley de acceso al información pública, en el sentido que esta municipalidad no genera ese tipo de información tal cual lo dice literalmente el articulo antes mencionado .</w:t>
      </w:r>
    </w:p>
    <w:p w14:paraId="104200C4" w14:textId="77777777" w:rsidR="001003C5" w:rsidRDefault="001003C5" w:rsidP="001003C5">
      <w:pPr>
        <w:pStyle w:val="Textosinformato"/>
        <w:spacing w:line="360" w:lineRule="auto"/>
        <w:jc w:val="both"/>
        <w:rPr>
          <w:rFonts w:ascii="Century Gothic" w:hAnsi="Century Gothic"/>
          <w:sz w:val="20"/>
          <w:szCs w:val="20"/>
        </w:rPr>
      </w:pPr>
    </w:p>
    <w:p w14:paraId="4F2428EF" w14:textId="77777777" w:rsidR="001003C5" w:rsidRPr="00C50DD3" w:rsidRDefault="001003C5" w:rsidP="001003C5">
      <w:pPr>
        <w:pStyle w:val="Textosinformato"/>
        <w:spacing w:line="360" w:lineRule="auto"/>
        <w:jc w:val="both"/>
        <w:rPr>
          <w:rFonts w:ascii="Century Gothic" w:hAnsi="Century Gothic"/>
          <w:b/>
          <w:color w:val="000000"/>
          <w:sz w:val="20"/>
          <w:szCs w:val="20"/>
        </w:rPr>
      </w:pPr>
      <w:r w:rsidRPr="00C50DD3">
        <w:rPr>
          <w:rFonts w:ascii="Century Gothic" w:hAnsi="Century Gothic"/>
          <w:b/>
          <w:color w:val="000000"/>
          <w:sz w:val="20"/>
          <w:szCs w:val="20"/>
        </w:rPr>
        <w:t>RESOLUCIÓN</w:t>
      </w:r>
    </w:p>
    <w:p w14:paraId="39432879" w14:textId="77777777" w:rsidR="001003C5" w:rsidRPr="00C50DD3" w:rsidRDefault="001003C5" w:rsidP="001003C5">
      <w:pPr>
        <w:spacing w:after="0" w:line="360" w:lineRule="auto"/>
        <w:jc w:val="both"/>
        <w:rPr>
          <w:rFonts w:ascii="Century Gothic" w:hAnsi="Century Gothic" w:cs="Calibri"/>
          <w:b/>
          <w:color w:val="000000"/>
          <w:sz w:val="20"/>
          <w:szCs w:val="20"/>
        </w:rPr>
      </w:pPr>
      <w:r w:rsidRPr="00C50DD3">
        <w:rPr>
          <w:rFonts w:ascii="Century Gothic" w:hAnsi="Century Gothic" w:cs="Calibri"/>
          <w:color w:val="000000"/>
          <w:sz w:val="20"/>
          <w:szCs w:val="20"/>
        </w:rPr>
        <w:t>De conformidad a</w:t>
      </w:r>
      <w:r>
        <w:rPr>
          <w:rFonts w:ascii="Century Gothic" w:hAnsi="Century Gothic" w:cs="Calibri"/>
          <w:color w:val="000000"/>
          <w:sz w:val="20"/>
          <w:szCs w:val="20"/>
        </w:rPr>
        <w:t xml:space="preserve"> los</w:t>
      </w:r>
      <w:r w:rsidRPr="00C50DD3">
        <w:rPr>
          <w:rFonts w:ascii="Century Gothic" w:hAnsi="Century Gothic" w:cs="Calibri"/>
          <w:color w:val="000000"/>
          <w:sz w:val="20"/>
          <w:szCs w:val="20"/>
        </w:rPr>
        <w:t xml:space="preserve"> </w:t>
      </w:r>
      <w:r>
        <w:rPr>
          <w:rFonts w:ascii="Century Gothic" w:hAnsi="Century Gothic" w:cs="Calibri"/>
          <w:color w:val="000000"/>
          <w:sz w:val="20"/>
          <w:szCs w:val="20"/>
        </w:rPr>
        <w:t xml:space="preserve">artículos </w:t>
      </w:r>
      <w:r w:rsidRPr="00C50DD3">
        <w:rPr>
          <w:rFonts w:ascii="Century Gothic" w:hAnsi="Century Gothic" w:cs="Calibri"/>
          <w:color w:val="000000"/>
          <w:sz w:val="20"/>
          <w:szCs w:val="20"/>
        </w:rPr>
        <w:t>65, 66, 72</w:t>
      </w:r>
      <w:r>
        <w:rPr>
          <w:rFonts w:ascii="Century Gothic" w:hAnsi="Century Gothic" w:cs="Calibri"/>
          <w:color w:val="000000"/>
          <w:sz w:val="20"/>
          <w:szCs w:val="20"/>
        </w:rPr>
        <w:t xml:space="preserve"> 24 lit “d” y articulo 2</w:t>
      </w:r>
      <w:r w:rsidRPr="00C50DD3">
        <w:rPr>
          <w:rFonts w:ascii="Century Gothic" w:hAnsi="Century Gothic" w:cs="Calibri"/>
          <w:color w:val="000000"/>
          <w:sz w:val="20"/>
          <w:szCs w:val="20"/>
        </w:rPr>
        <w:t xml:space="preserve"> de la Ley de Acceso a la Información Pública, y art. 54 del </w:t>
      </w:r>
      <w:r w:rsidRPr="00C50DD3">
        <w:rPr>
          <w:rFonts w:ascii="Century Gothic" w:hAnsi="Century Gothic"/>
          <w:color w:val="000000"/>
          <w:sz w:val="20"/>
          <w:szCs w:val="20"/>
        </w:rPr>
        <w:t xml:space="preserve">Reglamento de la Ley de Acceso a la Información Pública; </w:t>
      </w:r>
      <w:r>
        <w:rPr>
          <w:rFonts w:ascii="Century Gothic" w:hAnsi="Century Gothic"/>
          <w:color w:val="000000"/>
          <w:sz w:val="20"/>
          <w:szCs w:val="20"/>
        </w:rPr>
        <w:t>e</w:t>
      </w:r>
      <w:r>
        <w:rPr>
          <w:rFonts w:ascii="Century Gothic" w:hAnsi="Century Gothic" w:cs="Calibri"/>
          <w:color w:val="000000"/>
          <w:sz w:val="20"/>
          <w:szCs w:val="20"/>
        </w:rPr>
        <w:t>l suscrito</w:t>
      </w:r>
      <w:r w:rsidRPr="00C50DD3">
        <w:rPr>
          <w:rFonts w:ascii="Century Gothic" w:hAnsi="Century Gothic" w:cs="Calibri"/>
          <w:color w:val="000000"/>
          <w:sz w:val="20"/>
          <w:szCs w:val="20"/>
        </w:rPr>
        <w:t xml:space="preserve"> Oficial de Información, </w:t>
      </w:r>
      <w:r w:rsidRPr="00C50DD3">
        <w:rPr>
          <w:rFonts w:ascii="Century Gothic" w:hAnsi="Century Gothic" w:cs="Calibri"/>
          <w:b/>
          <w:color w:val="000000"/>
          <w:sz w:val="20"/>
          <w:szCs w:val="20"/>
        </w:rPr>
        <w:t>RESUELVE:</w:t>
      </w:r>
    </w:p>
    <w:p w14:paraId="60748704" w14:textId="77777777" w:rsidR="001003C5" w:rsidRPr="005860EA" w:rsidRDefault="001003C5" w:rsidP="001003C5">
      <w:pPr>
        <w:pStyle w:val="Prrafodelista"/>
        <w:numPr>
          <w:ilvl w:val="0"/>
          <w:numId w:val="5"/>
        </w:numPr>
        <w:spacing w:after="0" w:line="360" w:lineRule="auto"/>
        <w:jc w:val="both"/>
        <w:rPr>
          <w:rFonts w:ascii="Century Gothic" w:hAnsi="Century Gothic"/>
          <w:color w:val="000000"/>
          <w:sz w:val="20"/>
          <w:szCs w:val="20"/>
        </w:rPr>
      </w:pPr>
      <w:r w:rsidRPr="005860EA">
        <w:rPr>
          <w:rFonts w:ascii="Century Gothic" w:hAnsi="Century Gothic"/>
          <w:color w:val="000000"/>
          <w:sz w:val="20"/>
          <w:szCs w:val="20"/>
        </w:rPr>
        <w:t xml:space="preserve">La </w:t>
      </w:r>
      <w:r w:rsidRPr="005860EA">
        <w:rPr>
          <w:rFonts w:ascii="Century Gothic" w:hAnsi="Century Gothic" w:cs="Calibri"/>
          <w:color w:val="000000"/>
          <w:sz w:val="20"/>
          <w:szCs w:val="20"/>
        </w:rPr>
        <w:t xml:space="preserve">solicitud si cumple con todos los requisitos establecidos en </w:t>
      </w:r>
      <w:r w:rsidRPr="005860EA">
        <w:rPr>
          <w:rFonts w:ascii="Century Gothic" w:hAnsi="Century Gothic"/>
          <w:color w:val="000000"/>
          <w:sz w:val="20"/>
          <w:szCs w:val="20"/>
        </w:rPr>
        <w:t>el Art.66 de la Ley de Acceso a la Información Pública (LAIP) y art. 54 literal d) del Reglamento de la Ley de Acceso a la Información Pública.</w:t>
      </w:r>
    </w:p>
    <w:p w14:paraId="716C9538" w14:textId="77777777" w:rsidR="001003C5" w:rsidRPr="00D47F48" w:rsidRDefault="001003C5" w:rsidP="001003C5">
      <w:pPr>
        <w:numPr>
          <w:ilvl w:val="0"/>
          <w:numId w:val="5"/>
        </w:numPr>
        <w:spacing w:after="0" w:line="360" w:lineRule="auto"/>
        <w:jc w:val="both"/>
        <w:rPr>
          <w:rFonts w:ascii="Century Gothic" w:hAnsi="Century Gothic" w:cs="Calibri"/>
          <w:color w:val="000000"/>
          <w:sz w:val="20"/>
          <w:szCs w:val="20"/>
        </w:rPr>
      </w:pPr>
      <w:r>
        <w:rPr>
          <w:rFonts w:ascii="Century Gothic" w:hAnsi="Century Gothic" w:cs="Calibri"/>
          <w:color w:val="000000"/>
          <w:sz w:val="20"/>
          <w:szCs w:val="20"/>
        </w:rPr>
        <w:t xml:space="preserve">Se niega la entrega de la información por ser catalogada como Confidencial por los criterios legales antes relacionados en esta resolución todo de conformidad a la ley de acceso a la información pública    </w:t>
      </w:r>
    </w:p>
    <w:p w14:paraId="6DA56D57" w14:textId="77777777" w:rsidR="001003C5" w:rsidRDefault="001003C5" w:rsidP="001003C5">
      <w:pPr>
        <w:numPr>
          <w:ilvl w:val="0"/>
          <w:numId w:val="5"/>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Notifíquese a</w:t>
      </w:r>
      <w:r>
        <w:rPr>
          <w:rFonts w:ascii="Century Gothic" w:hAnsi="Century Gothic" w:cs="Calibri"/>
          <w:color w:val="000000"/>
          <w:sz w:val="20"/>
          <w:szCs w:val="20"/>
        </w:rPr>
        <w:t>l</w:t>
      </w:r>
      <w:r w:rsidRPr="00C50DD3">
        <w:rPr>
          <w:rFonts w:ascii="Century Gothic" w:hAnsi="Century Gothic" w:cs="Calibri"/>
          <w:color w:val="000000"/>
          <w:sz w:val="20"/>
          <w:szCs w:val="20"/>
        </w:rPr>
        <w:t xml:space="preserve"> solicitante por el medio señalado para tal efecto.</w:t>
      </w:r>
    </w:p>
    <w:p w14:paraId="7E60A74D" w14:textId="77777777" w:rsidR="001003C5" w:rsidRPr="00D47F48" w:rsidRDefault="001003C5" w:rsidP="001003C5">
      <w:pPr>
        <w:numPr>
          <w:ilvl w:val="0"/>
          <w:numId w:val="5"/>
        </w:numPr>
        <w:spacing w:after="0" w:line="360" w:lineRule="auto"/>
        <w:rPr>
          <w:rFonts w:ascii="Century Gothic" w:hAnsi="Century Gothic" w:cs="Calibri"/>
          <w:color w:val="000000"/>
          <w:sz w:val="20"/>
          <w:szCs w:val="20"/>
        </w:rPr>
      </w:pPr>
      <w:r w:rsidRPr="00C50DD3">
        <w:rPr>
          <w:rFonts w:ascii="Century Gothic" w:hAnsi="Century Gothic" w:cs="Calibri"/>
          <w:color w:val="000000"/>
          <w:sz w:val="20"/>
          <w:szCs w:val="20"/>
        </w:rPr>
        <w:t xml:space="preserve"> </w:t>
      </w:r>
      <w:r w:rsidRPr="00D47F48">
        <w:rPr>
          <w:rFonts w:ascii="Century Gothic" w:hAnsi="Century Gothic" w:cs="Calibri"/>
          <w:color w:val="000000"/>
          <w:sz w:val="20"/>
          <w:szCs w:val="20"/>
        </w:rPr>
        <w:t>Archívese el expediente administrativo.</w:t>
      </w:r>
    </w:p>
    <w:p w14:paraId="5CFF292F" w14:textId="77777777" w:rsidR="001003C5" w:rsidRPr="00C50DD3" w:rsidRDefault="001003C5" w:rsidP="001003C5">
      <w:pPr>
        <w:widowControl w:val="0"/>
        <w:autoSpaceDE w:val="0"/>
        <w:autoSpaceDN w:val="0"/>
        <w:adjustRightInd w:val="0"/>
        <w:spacing w:after="0" w:line="360" w:lineRule="auto"/>
        <w:rPr>
          <w:rFonts w:ascii="Century Gothic" w:hAnsi="Century Gothic" w:cs="Calibri"/>
          <w:color w:val="000000"/>
          <w:sz w:val="20"/>
          <w:szCs w:val="20"/>
        </w:rPr>
      </w:pPr>
    </w:p>
    <w:p w14:paraId="43DBE5C9" w14:textId="77777777" w:rsidR="001003C5" w:rsidRDefault="001003C5" w:rsidP="001003C5">
      <w:pPr>
        <w:widowControl w:val="0"/>
        <w:autoSpaceDE w:val="0"/>
        <w:autoSpaceDN w:val="0"/>
        <w:adjustRightInd w:val="0"/>
        <w:spacing w:after="0" w:line="360" w:lineRule="auto"/>
        <w:rPr>
          <w:rFonts w:ascii="Century Gothic" w:hAnsi="Century Gothic" w:cs="Calibri"/>
          <w:color w:val="000000"/>
          <w:sz w:val="20"/>
          <w:szCs w:val="20"/>
        </w:rPr>
      </w:pPr>
    </w:p>
    <w:p w14:paraId="660B3792" w14:textId="77777777" w:rsidR="001003C5" w:rsidRDefault="001003C5" w:rsidP="001003C5">
      <w:pPr>
        <w:widowControl w:val="0"/>
        <w:autoSpaceDE w:val="0"/>
        <w:autoSpaceDN w:val="0"/>
        <w:adjustRightInd w:val="0"/>
        <w:spacing w:after="0" w:line="360" w:lineRule="auto"/>
        <w:rPr>
          <w:rFonts w:ascii="Century Gothic" w:hAnsi="Century Gothic" w:cs="Calibri"/>
          <w:color w:val="000000"/>
          <w:sz w:val="20"/>
          <w:szCs w:val="20"/>
        </w:rPr>
      </w:pPr>
    </w:p>
    <w:p w14:paraId="575FB6ED" w14:textId="77777777" w:rsidR="001003C5" w:rsidRPr="00C50DD3" w:rsidRDefault="001003C5" w:rsidP="001003C5">
      <w:pPr>
        <w:widowControl w:val="0"/>
        <w:autoSpaceDE w:val="0"/>
        <w:autoSpaceDN w:val="0"/>
        <w:adjustRightInd w:val="0"/>
        <w:spacing w:after="0" w:line="360" w:lineRule="auto"/>
        <w:rPr>
          <w:rFonts w:ascii="Century Gothic" w:hAnsi="Century Gothic" w:cs="Calibri"/>
          <w:color w:val="000000"/>
          <w:sz w:val="20"/>
          <w:szCs w:val="20"/>
        </w:rPr>
      </w:pPr>
      <w:r>
        <w:rPr>
          <w:rFonts w:ascii="Century Gothic" w:hAnsi="Century Gothic" w:cs="Calibri"/>
          <w:color w:val="000000"/>
          <w:sz w:val="20"/>
          <w:szCs w:val="20"/>
        </w:rPr>
        <w:t xml:space="preserve">                                                </w:t>
      </w:r>
    </w:p>
    <w:p w14:paraId="0DF9889A" w14:textId="77777777" w:rsidR="001003C5" w:rsidRPr="000B3180" w:rsidRDefault="001003C5" w:rsidP="001003C5">
      <w:pPr>
        <w:widowControl w:val="0"/>
        <w:autoSpaceDE w:val="0"/>
        <w:autoSpaceDN w:val="0"/>
        <w:adjustRightInd w:val="0"/>
        <w:spacing w:after="0" w:line="360" w:lineRule="auto"/>
        <w:jc w:val="center"/>
        <w:rPr>
          <w:rFonts w:ascii="Century Gothic" w:hAnsi="Century Gothic" w:cs="Calibri"/>
          <w:b/>
          <w:color w:val="000000"/>
          <w:spacing w:val="2"/>
          <w:sz w:val="20"/>
          <w:szCs w:val="20"/>
        </w:rPr>
      </w:pPr>
      <w:r w:rsidRPr="000B3180">
        <w:rPr>
          <w:rFonts w:ascii="Century Gothic" w:hAnsi="Century Gothic" w:cs="Calibri"/>
          <w:b/>
          <w:color w:val="000000"/>
          <w:spacing w:val="2"/>
          <w:sz w:val="20"/>
          <w:szCs w:val="20"/>
        </w:rPr>
        <w:t xml:space="preserve">Lic. Francis A. </w:t>
      </w:r>
      <w:r>
        <w:rPr>
          <w:rFonts w:ascii="Century Gothic" w:hAnsi="Century Gothic" w:cs="Calibri"/>
          <w:b/>
          <w:color w:val="000000"/>
          <w:spacing w:val="2"/>
          <w:sz w:val="20"/>
          <w:szCs w:val="20"/>
        </w:rPr>
        <w:t>Galdámez M.</w:t>
      </w:r>
    </w:p>
    <w:p w14:paraId="38FA4201" w14:textId="77777777" w:rsidR="001003C5" w:rsidRPr="00C50DD3" w:rsidRDefault="001003C5" w:rsidP="001003C5">
      <w:pPr>
        <w:widowControl w:val="0"/>
        <w:autoSpaceDE w:val="0"/>
        <w:autoSpaceDN w:val="0"/>
        <w:adjustRightInd w:val="0"/>
        <w:spacing w:after="0" w:line="360" w:lineRule="auto"/>
        <w:jc w:val="center"/>
        <w:rPr>
          <w:rFonts w:ascii="Century Gothic" w:hAnsi="Century Gothic" w:cs="Calibri"/>
          <w:b/>
          <w:color w:val="000000"/>
          <w:sz w:val="20"/>
          <w:szCs w:val="20"/>
        </w:rPr>
      </w:pPr>
      <w:r w:rsidRPr="00C50DD3">
        <w:rPr>
          <w:rFonts w:ascii="Century Gothic" w:hAnsi="Century Gothic" w:cs="Calibri"/>
          <w:b/>
          <w:color w:val="000000"/>
          <w:spacing w:val="2"/>
          <w:sz w:val="20"/>
          <w:szCs w:val="20"/>
        </w:rPr>
        <w:t>O</w:t>
      </w:r>
      <w:r w:rsidRPr="00C50DD3">
        <w:rPr>
          <w:rFonts w:ascii="Century Gothic" w:hAnsi="Century Gothic" w:cs="Calibri"/>
          <w:b/>
          <w:color w:val="000000"/>
          <w:spacing w:val="-3"/>
          <w:sz w:val="20"/>
          <w:szCs w:val="20"/>
        </w:rPr>
        <w:t>f</w:t>
      </w:r>
      <w:r w:rsidRPr="00C50DD3">
        <w:rPr>
          <w:rFonts w:ascii="Century Gothic" w:hAnsi="Century Gothic" w:cs="Calibri"/>
          <w:b/>
          <w:color w:val="000000"/>
          <w:spacing w:val="3"/>
          <w:sz w:val="20"/>
          <w:szCs w:val="20"/>
        </w:rPr>
        <w:t>i</w:t>
      </w:r>
      <w:r w:rsidRPr="00C50DD3">
        <w:rPr>
          <w:rFonts w:ascii="Century Gothic" w:hAnsi="Century Gothic" w:cs="Calibri"/>
          <w:b/>
          <w:color w:val="000000"/>
          <w:spacing w:val="-2"/>
          <w:sz w:val="20"/>
          <w:szCs w:val="20"/>
        </w:rPr>
        <w:t>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2"/>
          <w:sz w:val="20"/>
          <w:szCs w:val="20"/>
        </w:rPr>
        <w:t>a</w:t>
      </w:r>
      <w:r w:rsidRPr="00C50DD3">
        <w:rPr>
          <w:rFonts w:ascii="Century Gothic" w:hAnsi="Century Gothic" w:cs="Calibri"/>
          <w:b/>
          <w:color w:val="000000"/>
          <w:sz w:val="20"/>
          <w:szCs w:val="20"/>
        </w:rPr>
        <w:t>l</w:t>
      </w:r>
      <w:r w:rsidRPr="00C50DD3">
        <w:rPr>
          <w:rFonts w:ascii="Century Gothic" w:hAnsi="Century Gothic"/>
          <w:b/>
          <w:color w:val="000000"/>
          <w:spacing w:val="7"/>
          <w:sz w:val="20"/>
          <w:szCs w:val="20"/>
        </w:rPr>
        <w:t xml:space="preserve"> </w:t>
      </w:r>
      <w:r w:rsidRPr="00C50DD3">
        <w:rPr>
          <w:rFonts w:ascii="Century Gothic" w:hAnsi="Century Gothic" w:cs="Calibri"/>
          <w:b/>
          <w:color w:val="000000"/>
          <w:sz w:val="20"/>
          <w:szCs w:val="20"/>
        </w:rPr>
        <w:t>de</w:t>
      </w:r>
      <w:r w:rsidRPr="00C50DD3">
        <w:rPr>
          <w:rFonts w:ascii="Century Gothic" w:hAnsi="Century Gothic"/>
          <w:b/>
          <w:color w:val="000000"/>
          <w:spacing w:val="-2"/>
          <w:sz w:val="20"/>
          <w:szCs w:val="20"/>
        </w:rPr>
        <w:t xml:space="preserve"> </w:t>
      </w:r>
      <w:r w:rsidRPr="00C50DD3">
        <w:rPr>
          <w:rFonts w:ascii="Century Gothic" w:hAnsi="Century Gothic" w:cs="Calibri"/>
          <w:b/>
          <w:color w:val="000000"/>
          <w:spacing w:val="1"/>
          <w:sz w:val="20"/>
          <w:szCs w:val="20"/>
        </w:rPr>
        <w:t>I</w:t>
      </w:r>
      <w:r w:rsidRPr="00C50DD3">
        <w:rPr>
          <w:rFonts w:ascii="Century Gothic" w:hAnsi="Century Gothic" w:cs="Calibri"/>
          <w:b/>
          <w:color w:val="000000"/>
          <w:sz w:val="20"/>
          <w:szCs w:val="20"/>
        </w:rPr>
        <w:t>n</w:t>
      </w:r>
      <w:r w:rsidRPr="00C50DD3">
        <w:rPr>
          <w:rFonts w:ascii="Century Gothic" w:hAnsi="Century Gothic" w:cs="Calibri"/>
          <w:b/>
          <w:color w:val="000000"/>
          <w:spacing w:val="-1"/>
          <w:sz w:val="20"/>
          <w:szCs w:val="20"/>
        </w:rPr>
        <w:t>fo</w:t>
      </w:r>
      <w:r w:rsidRPr="00C50DD3">
        <w:rPr>
          <w:rFonts w:ascii="Century Gothic" w:hAnsi="Century Gothic" w:cs="Calibri"/>
          <w:b/>
          <w:color w:val="000000"/>
          <w:sz w:val="20"/>
          <w:szCs w:val="20"/>
        </w:rPr>
        <w:t>r</w:t>
      </w:r>
      <w:r w:rsidRPr="00C50DD3">
        <w:rPr>
          <w:rFonts w:ascii="Century Gothic" w:hAnsi="Century Gothic" w:cs="Calibri"/>
          <w:b/>
          <w:color w:val="000000"/>
          <w:spacing w:val="1"/>
          <w:sz w:val="20"/>
          <w:szCs w:val="20"/>
        </w:rPr>
        <w:t>m</w:t>
      </w:r>
      <w:r w:rsidRPr="00C50DD3">
        <w:rPr>
          <w:rFonts w:ascii="Century Gothic" w:hAnsi="Century Gothic" w:cs="Calibri"/>
          <w:b/>
          <w:color w:val="000000"/>
          <w:spacing w:val="-2"/>
          <w:sz w:val="20"/>
          <w:szCs w:val="20"/>
        </w:rPr>
        <w:t>ac</w:t>
      </w:r>
      <w:r w:rsidRPr="00C50DD3">
        <w:rPr>
          <w:rFonts w:ascii="Century Gothic" w:hAnsi="Century Gothic" w:cs="Calibri"/>
          <w:b/>
          <w:color w:val="000000"/>
          <w:spacing w:val="1"/>
          <w:sz w:val="20"/>
          <w:szCs w:val="20"/>
        </w:rPr>
        <w:t>i</w:t>
      </w:r>
      <w:r w:rsidRPr="00C50DD3">
        <w:rPr>
          <w:rFonts w:ascii="Century Gothic" w:hAnsi="Century Gothic" w:cs="Calibri"/>
          <w:b/>
          <w:color w:val="000000"/>
          <w:spacing w:val="-1"/>
          <w:sz w:val="20"/>
          <w:szCs w:val="20"/>
        </w:rPr>
        <w:t>ó</w:t>
      </w:r>
      <w:r w:rsidRPr="00C50DD3">
        <w:rPr>
          <w:rFonts w:ascii="Century Gothic" w:hAnsi="Century Gothic" w:cs="Calibri"/>
          <w:b/>
          <w:color w:val="000000"/>
          <w:sz w:val="20"/>
          <w:szCs w:val="20"/>
        </w:rPr>
        <w:t>n</w:t>
      </w:r>
    </w:p>
    <w:p w14:paraId="73C2F3D5" w14:textId="77777777" w:rsidR="001003C5" w:rsidRDefault="001003C5" w:rsidP="001003C5">
      <w:pPr>
        <w:widowControl w:val="0"/>
        <w:autoSpaceDE w:val="0"/>
        <w:autoSpaceDN w:val="0"/>
        <w:adjustRightInd w:val="0"/>
        <w:spacing w:after="0" w:line="36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Alcaldía Municipal de Metapán </w:t>
      </w:r>
    </w:p>
    <w:p w14:paraId="1911198F" w14:textId="77777777" w:rsidR="001003C5" w:rsidRDefault="001003C5" w:rsidP="001003C5">
      <w:pPr>
        <w:widowControl w:val="0"/>
        <w:autoSpaceDE w:val="0"/>
        <w:autoSpaceDN w:val="0"/>
        <w:adjustRightInd w:val="0"/>
        <w:spacing w:after="0" w:line="360" w:lineRule="auto"/>
        <w:jc w:val="center"/>
        <w:rPr>
          <w:rFonts w:ascii="Century Gothic" w:hAnsi="Century Gothic" w:cs="Calibri"/>
          <w:b/>
          <w:color w:val="000000"/>
          <w:sz w:val="20"/>
          <w:szCs w:val="20"/>
        </w:rPr>
      </w:pPr>
    </w:p>
    <w:p w14:paraId="400E3B12" w14:textId="77777777" w:rsidR="001003C5" w:rsidRPr="00C50DD3" w:rsidRDefault="001003C5" w:rsidP="001003C5">
      <w:pPr>
        <w:widowControl w:val="0"/>
        <w:autoSpaceDE w:val="0"/>
        <w:autoSpaceDN w:val="0"/>
        <w:adjustRightInd w:val="0"/>
        <w:spacing w:after="0" w:line="360" w:lineRule="auto"/>
        <w:jc w:val="center"/>
        <w:rPr>
          <w:rFonts w:ascii="Century Gothic" w:hAnsi="Century Gothic" w:cs="Calibri"/>
          <w:b/>
          <w:color w:val="000000"/>
          <w:sz w:val="20"/>
          <w:szCs w:val="20"/>
        </w:rPr>
      </w:pPr>
    </w:p>
    <w:p w14:paraId="7CFCFD3F" w14:textId="77777777" w:rsidR="001003C5" w:rsidRDefault="001003C5" w:rsidP="001003C5">
      <w:pPr>
        <w:widowControl w:val="0"/>
        <w:autoSpaceDE w:val="0"/>
        <w:autoSpaceDN w:val="0"/>
        <w:adjustRightInd w:val="0"/>
        <w:spacing w:after="0" w:line="360" w:lineRule="auto"/>
        <w:jc w:val="center"/>
        <w:rPr>
          <w:rFonts w:ascii="Century Gothic" w:hAnsi="Century Gothic" w:cs="Calibri"/>
          <w:b/>
          <w:color w:val="000000"/>
          <w:sz w:val="20"/>
          <w:szCs w:val="20"/>
        </w:rPr>
      </w:pPr>
    </w:p>
    <w:p w14:paraId="5E10848E" w14:textId="38A6FD42" w:rsidR="00330CDE" w:rsidRDefault="00330CDE"/>
    <w:p w14:paraId="794EA11E" w14:textId="77777777" w:rsidR="001003C5" w:rsidRDefault="001003C5"/>
    <w:sectPr w:rsidR="001003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7134EE"/>
    <w:multiLevelType w:val="hybridMultilevel"/>
    <w:tmpl w:val="4AAC1F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C80615A"/>
    <w:multiLevelType w:val="hybridMultilevel"/>
    <w:tmpl w:val="AB4889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C5"/>
    <w:rsid w:val="001003C5"/>
    <w:rsid w:val="00330CDE"/>
    <w:rsid w:val="00DA5C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81CE"/>
  <w15:chartTrackingRefBased/>
  <w15:docId w15:val="{A77EEA6C-6FD9-42F5-B163-DA69A1D4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C5"/>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03C5"/>
    <w:pPr>
      <w:ind w:left="720"/>
      <w:contextualSpacing/>
    </w:pPr>
    <w:rPr>
      <w:lang w:eastAsia="en-US"/>
    </w:rPr>
  </w:style>
  <w:style w:type="paragraph" w:styleId="Textosinformato">
    <w:name w:val="Plain Text"/>
    <w:basedOn w:val="Normal"/>
    <w:link w:val="TextosinformatoCar"/>
    <w:uiPriority w:val="99"/>
    <w:unhideWhenUsed/>
    <w:rsid w:val="001003C5"/>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1003C5"/>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4927</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dcterms:created xsi:type="dcterms:W3CDTF">2022-07-07T15:15:00Z</dcterms:created>
  <dcterms:modified xsi:type="dcterms:W3CDTF">2022-07-11T15:43:00Z</dcterms:modified>
</cp:coreProperties>
</file>