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>El infrascrito Oficial de Acceso a la Información Pública de la Alcaldía Municipal de San Francisco Gotera, departamento de Morazán.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>Considerando:</w:t>
      </w:r>
      <w:r w:rsidRPr="0022269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>I.-</w:t>
      </w:r>
      <w:r w:rsidRPr="0022269B">
        <w:rPr>
          <w:rFonts w:ascii="Times New Roman" w:hAnsi="Times New Roman" w:cs="Times New Roman"/>
          <w:sz w:val="23"/>
          <w:szCs w:val="23"/>
        </w:rPr>
        <w:t xml:space="preserve"> Que de conformidad al artículo 2 de la Ley de Acceso a la Información Pública: </w:t>
      </w:r>
      <w:r w:rsidRPr="0022269B">
        <w:rPr>
          <w:rFonts w:ascii="Times New Roman" w:hAnsi="Times New Roman" w:cs="Times New Roman"/>
          <w:i/>
          <w:sz w:val="23"/>
          <w:szCs w:val="23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>II.-</w:t>
      </w:r>
      <w:r w:rsidRPr="0022269B">
        <w:rPr>
          <w:rFonts w:ascii="Times New Roman" w:hAnsi="Times New Roman" w:cs="Times New Roman"/>
          <w:sz w:val="23"/>
          <w:szCs w:val="23"/>
        </w:rPr>
        <w:t xml:space="preserve"> Que la Ley de Acceso a la Información Pública en su artículo 4 plantea que </w:t>
      </w:r>
      <w:r w:rsidRPr="0022269B">
        <w:rPr>
          <w:rFonts w:ascii="Times New Roman" w:hAnsi="Times New Roman" w:cs="Times New Roman"/>
          <w:i/>
          <w:sz w:val="23"/>
          <w:szCs w:val="23"/>
        </w:rPr>
        <w:t xml:space="preserve">la interpretación y aplicación de </w:t>
      </w:r>
      <w:r w:rsidRPr="0022269B">
        <w:rPr>
          <w:rFonts w:ascii="Times New Roman" w:hAnsi="Times New Roman" w:cs="Times New Roman"/>
          <w:sz w:val="23"/>
          <w:szCs w:val="23"/>
        </w:rPr>
        <w:t>[la]</w:t>
      </w:r>
      <w:r w:rsidRPr="0022269B">
        <w:rPr>
          <w:rFonts w:ascii="Times New Roman" w:hAnsi="Times New Roman" w:cs="Times New Roman"/>
          <w:i/>
          <w:sz w:val="23"/>
          <w:szCs w:val="23"/>
        </w:rPr>
        <w:t xml:space="preserve"> ley </w:t>
      </w:r>
      <w:r w:rsidRPr="0022269B">
        <w:rPr>
          <w:rFonts w:ascii="Times New Roman" w:hAnsi="Times New Roman" w:cs="Times New Roman"/>
          <w:sz w:val="23"/>
          <w:szCs w:val="23"/>
        </w:rPr>
        <w:t>[deberá]</w:t>
      </w:r>
      <w:r w:rsidRPr="0022269B">
        <w:rPr>
          <w:rFonts w:ascii="Times New Roman" w:hAnsi="Times New Roman" w:cs="Times New Roman"/>
          <w:i/>
          <w:sz w:val="23"/>
          <w:szCs w:val="23"/>
        </w:rPr>
        <w:t xml:space="preserve"> regir</w:t>
      </w:r>
      <w:r w:rsidRPr="0022269B">
        <w:rPr>
          <w:rFonts w:ascii="Times New Roman" w:hAnsi="Times New Roman" w:cs="Times New Roman"/>
          <w:sz w:val="23"/>
          <w:szCs w:val="23"/>
        </w:rPr>
        <w:t>[se por]</w:t>
      </w:r>
      <w:r w:rsidRPr="0022269B">
        <w:rPr>
          <w:rFonts w:ascii="Times New Roman" w:hAnsi="Times New Roman" w:cs="Times New Roman"/>
          <w:i/>
          <w:sz w:val="23"/>
          <w:szCs w:val="23"/>
        </w:rPr>
        <w:t xml:space="preserve"> los principios siguientes:</w:t>
      </w:r>
      <w:r w:rsidRPr="0022269B">
        <w:rPr>
          <w:rFonts w:ascii="Times New Roman" w:hAnsi="Times New Roman" w:cs="Times New Roman"/>
          <w:sz w:val="23"/>
          <w:szCs w:val="23"/>
        </w:rPr>
        <w:t xml:space="preserve"> a. </w:t>
      </w:r>
      <w:r w:rsidRPr="0022269B">
        <w:rPr>
          <w:rFonts w:ascii="Times New Roman" w:hAnsi="Times New Roman" w:cs="Times New Roman"/>
          <w:b/>
          <w:sz w:val="23"/>
          <w:szCs w:val="23"/>
        </w:rPr>
        <w:t>Máxima publicidad</w:t>
      </w:r>
      <w:r w:rsidRPr="0022269B">
        <w:rPr>
          <w:rFonts w:ascii="Times New Roman" w:hAnsi="Times New Roman" w:cs="Times New Roman"/>
          <w:sz w:val="23"/>
          <w:szCs w:val="23"/>
        </w:rPr>
        <w:t xml:space="preserve">: la información en poder de los entes obligados es pública y su difusión irrestricta, salvo las excepciones expresamente establecidas por la ley; b. </w:t>
      </w:r>
      <w:r w:rsidRPr="0022269B">
        <w:rPr>
          <w:rFonts w:ascii="Times New Roman" w:hAnsi="Times New Roman" w:cs="Times New Roman"/>
          <w:b/>
          <w:sz w:val="23"/>
          <w:szCs w:val="23"/>
        </w:rPr>
        <w:t>Disponibilidad</w:t>
      </w:r>
      <w:r w:rsidRPr="0022269B">
        <w:rPr>
          <w:rFonts w:ascii="Times New Roman" w:hAnsi="Times New Roman" w:cs="Times New Roman"/>
          <w:sz w:val="23"/>
          <w:szCs w:val="23"/>
        </w:rPr>
        <w:t xml:space="preserve">: La información pública debe estar al alcance de los particulares; d. </w:t>
      </w:r>
      <w:r w:rsidRPr="0022269B">
        <w:rPr>
          <w:rFonts w:ascii="Times New Roman" w:hAnsi="Times New Roman" w:cs="Times New Roman"/>
          <w:b/>
          <w:sz w:val="23"/>
          <w:szCs w:val="23"/>
        </w:rPr>
        <w:t>Integridad</w:t>
      </w:r>
      <w:r w:rsidRPr="0022269B">
        <w:rPr>
          <w:rFonts w:ascii="Times New Roman" w:hAnsi="Times New Roman" w:cs="Times New Roman"/>
          <w:sz w:val="23"/>
          <w:szCs w:val="23"/>
        </w:rPr>
        <w:t>: La información pública debe ser completa, fidedigna y veraz.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Pr="0022269B" w:rsidRDefault="00646329" w:rsidP="00646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>III.-</w:t>
      </w:r>
      <w:r w:rsidRPr="0022269B">
        <w:rPr>
          <w:rFonts w:ascii="Times New Roman" w:hAnsi="Times New Roman" w:cs="Times New Roman"/>
          <w:sz w:val="23"/>
          <w:szCs w:val="23"/>
        </w:rPr>
        <w:t xml:space="preserve"> Que el numeral 21 del artículo 10 de la Ley de Acceso a la Información Pública literalmente establece: </w:t>
      </w:r>
      <w:r w:rsidRPr="0022269B">
        <w:rPr>
          <w:rFonts w:ascii="Times New Roman" w:hAnsi="Times New Roman" w:cs="Times New Roman"/>
          <w:i/>
          <w:sz w:val="23"/>
          <w:szCs w:val="23"/>
        </w:rPr>
        <w:t>Los entes obligados, de manera oficiosa, pondrán a disp</w:t>
      </w:r>
      <w:r w:rsidR="0022269B">
        <w:rPr>
          <w:rFonts w:ascii="Times New Roman" w:hAnsi="Times New Roman" w:cs="Times New Roman"/>
          <w:i/>
          <w:sz w:val="23"/>
          <w:szCs w:val="23"/>
        </w:rPr>
        <w:t>osición del público, divulgarán</w:t>
      </w:r>
      <w:bookmarkStart w:id="0" w:name="_GoBack"/>
      <w:bookmarkEnd w:id="0"/>
      <w:r w:rsidRPr="0022269B">
        <w:rPr>
          <w:rFonts w:ascii="Times New Roman" w:hAnsi="Times New Roman" w:cs="Times New Roman"/>
          <w:i/>
          <w:sz w:val="23"/>
          <w:szCs w:val="23"/>
        </w:rPr>
        <w:t xml:space="preserve"> y actualizaran, en los términos de los lineamientos que expida el Instituto, la información siguiente: 21. Los mecanismos de participación ciudadana y rendición de cuentas existentes en el ámbito de competencia de cada institución, de las modalidades y resultados del uso de dichos mecanismos.  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 xml:space="preserve">IV.- </w:t>
      </w:r>
      <w:r w:rsidRPr="0022269B">
        <w:rPr>
          <w:rFonts w:ascii="Times New Roman" w:hAnsi="Times New Roman" w:cs="Times New Roman"/>
          <w:sz w:val="23"/>
          <w:szCs w:val="23"/>
        </w:rPr>
        <w:t xml:space="preserve">Que de conformidad al artículo 50 de la Ley de Acceso a la Información Pública </w:t>
      </w:r>
      <w:r w:rsidRPr="0022269B">
        <w:rPr>
          <w:rFonts w:ascii="Times New Roman" w:hAnsi="Times New Roman" w:cs="Times New Roman"/>
          <w:i/>
          <w:sz w:val="23"/>
          <w:szCs w:val="23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2269B">
        <w:rPr>
          <w:rFonts w:ascii="Times New Roman" w:hAnsi="Times New Roman" w:cs="Times New Roman"/>
          <w:sz w:val="23"/>
          <w:szCs w:val="23"/>
        </w:rPr>
        <w:t>Por tanto, vistas las consideracion</w:t>
      </w:r>
      <w:r w:rsidR="0022269B" w:rsidRPr="0022269B">
        <w:rPr>
          <w:rFonts w:ascii="Times New Roman" w:hAnsi="Times New Roman" w:cs="Times New Roman"/>
          <w:sz w:val="23"/>
          <w:szCs w:val="23"/>
        </w:rPr>
        <w:t xml:space="preserve">es que anteceden y con base en </w:t>
      </w:r>
      <w:r w:rsidRPr="0022269B">
        <w:rPr>
          <w:rFonts w:ascii="Times New Roman" w:hAnsi="Times New Roman" w:cs="Times New Roman"/>
          <w:sz w:val="23"/>
          <w:szCs w:val="23"/>
        </w:rPr>
        <w:t xml:space="preserve">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 w:rsidRPr="0022269B">
        <w:rPr>
          <w:rFonts w:ascii="Times New Roman" w:hAnsi="Times New Roman" w:cs="Times New Roman"/>
          <w:b/>
          <w:sz w:val="23"/>
          <w:szCs w:val="23"/>
        </w:rPr>
        <w:t>RESUELVE: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>DECLARESE</w:t>
      </w:r>
      <w:r w:rsidRPr="0022269B">
        <w:rPr>
          <w:rFonts w:ascii="Times New Roman" w:hAnsi="Times New Roman" w:cs="Times New Roman"/>
          <w:sz w:val="23"/>
          <w:szCs w:val="23"/>
        </w:rPr>
        <w:t xml:space="preserve"> La </w:t>
      </w:r>
      <w:r w:rsidRPr="0022269B">
        <w:rPr>
          <w:rFonts w:ascii="Times New Roman" w:hAnsi="Times New Roman" w:cs="Times New Roman"/>
          <w:b/>
          <w:sz w:val="23"/>
          <w:szCs w:val="23"/>
        </w:rPr>
        <w:t>inexistencia</w:t>
      </w:r>
      <w:r w:rsidRPr="0022269B">
        <w:rPr>
          <w:rFonts w:ascii="Times New Roman" w:hAnsi="Times New Roman" w:cs="Times New Roman"/>
          <w:sz w:val="23"/>
          <w:szCs w:val="23"/>
        </w:rPr>
        <w:t xml:space="preserve"> de mecanismos de participación ciudadana a que se refiere el artículo 116 del Código Municipal, du</w:t>
      </w:r>
      <w:r w:rsidR="0022269B" w:rsidRPr="0022269B">
        <w:rPr>
          <w:rFonts w:ascii="Times New Roman" w:hAnsi="Times New Roman" w:cs="Times New Roman"/>
          <w:sz w:val="23"/>
          <w:szCs w:val="23"/>
        </w:rPr>
        <w:t>rante los meses de enero a marzo del</w:t>
      </w:r>
      <w:r w:rsidR="006631F8" w:rsidRPr="0022269B">
        <w:rPr>
          <w:rFonts w:ascii="Times New Roman" w:hAnsi="Times New Roman" w:cs="Times New Roman"/>
          <w:sz w:val="23"/>
          <w:szCs w:val="23"/>
        </w:rPr>
        <w:t xml:space="preserve"> año dos mil </w:t>
      </w:r>
      <w:r w:rsidR="009B415A" w:rsidRPr="0022269B">
        <w:rPr>
          <w:rFonts w:ascii="Times New Roman" w:hAnsi="Times New Roman" w:cs="Times New Roman"/>
          <w:sz w:val="23"/>
          <w:szCs w:val="23"/>
        </w:rPr>
        <w:t>diecinueve</w:t>
      </w:r>
      <w:r w:rsidRPr="0022269B">
        <w:rPr>
          <w:rFonts w:ascii="Times New Roman" w:hAnsi="Times New Roman" w:cs="Times New Roman"/>
          <w:sz w:val="23"/>
          <w:szCs w:val="23"/>
        </w:rPr>
        <w:t>.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269B">
        <w:rPr>
          <w:rFonts w:ascii="Times New Roman" w:hAnsi="Times New Roman" w:cs="Times New Roman"/>
          <w:sz w:val="23"/>
          <w:szCs w:val="23"/>
        </w:rPr>
        <w:t>Para que sea del conocimiento de la población en general, extiéndase, fírmese y séllese la presente declaratoria de Inexistencia en la Ciudad de San Francisco Gotera, departamento de Morazán a los veint</w:t>
      </w:r>
      <w:r w:rsidR="000B22B2" w:rsidRPr="0022269B">
        <w:rPr>
          <w:rFonts w:ascii="Times New Roman" w:hAnsi="Times New Roman" w:cs="Times New Roman"/>
          <w:sz w:val="23"/>
          <w:szCs w:val="23"/>
        </w:rPr>
        <w:t>iún</w:t>
      </w:r>
      <w:r w:rsidRPr="0022269B">
        <w:rPr>
          <w:rFonts w:ascii="Times New Roman" w:hAnsi="Times New Roman" w:cs="Times New Roman"/>
          <w:sz w:val="23"/>
          <w:szCs w:val="23"/>
        </w:rPr>
        <w:t xml:space="preserve"> días del mes de e</w:t>
      </w:r>
      <w:r w:rsidR="000B22B2" w:rsidRPr="0022269B">
        <w:rPr>
          <w:rFonts w:ascii="Times New Roman" w:hAnsi="Times New Roman" w:cs="Times New Roman"/>
          <w:sz w:val="23"/>
          <w:szCs w:val="23"/>
        </w:rPr>
        <w:t>ne</w:t>
      </w:r>
      <w:r w:rsidRPr="0022269B">
        <w:rPr>
          <w:rFonts w:ascii="Times New Roman" w:hAnsi="Times New Roman" w:cs="Times New Roman"/>
          <w:sz w:val="23"/>
          <w:szCs w:val="23"/>
        </w:rPr>
        <w:t>r</w:t>
      </w:r>
      <w:r w:rsidR="000B22B2" w:rsidRPr="0022269B">
        <w:rPr>
          <w:rFonts w:ascii="Times New Roman" w:hAnsi="Times New Roman" w:cs="Times New Roman"/>
          <w:sz w:val="23"/>
          <w:szCs w:val="23"/>
        </w:rPr>
        <w:t>o</w:t>
      </w:r>
      <w:r w:rsidRPr="0022269B">
        <w:rPr>
          <w:rFonts w:ascii="Times New Roman" w:hAnsi="Times New Roman" w:cs="Times New Roman"/>
          <w:sz w:val="23"/>
          <w:szCs w:val="23"/>
        </w:rPr>
        <w:t xml:space="preserve"> del año dos mil ve</w:t>
      </w:r>
      <w:r w:rsidR="000B22B2" w:rsidRPr="0022269B">
        <w:rPr>
          <w:rFonts w:ascii="Times New Roman" w:hAnsi="Times New Roman" w:cs="Times New Roman"/>
          <w:sz w:val="23"/>
          <w:szCs w:val="23"/>
        </w:rPr>
        <w:t>inte</w:t>
      </w:r>
      <w:r w:rsidRPr="0022269B">
        <w:rPr>
          <w:rFonts w:ascii="Times New Roman" w:hAnsi="Times New Roman" w:cs="Times New Roman"/>
          <w:sz w:val="23"/>
          <w:szCs w:val="23"/>
        </w:rPr>
        <w:t>.</w:t>
      </w: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2269B" w:rsidRPr="0022269B" w:rsidRDefault="0022269B" w:rsidP="0064632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6329" w:rsidRPr="0022269B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2269B">
        <w:rPr>
          <w:rFonts w:ascii="Times New Roman" w:hAnsi="Times New Roman" w:cs="Times New Roman"/>
          <w:b/>
          <w:sz w:val="23"/>
          <w:szCs w:val="23"/>
        </w:rPr>
        <w:t>Lic. Roberto Horacio Laínez Meléndez</w:t>
      </w:r>
    </w:p>
    <w:p w:rsidR="00646329" w:rsidRPr="0022269B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2269B">
        <w:rPr>
          <w:rFonts w:ascii="Times New Roman" w:hAnsi="Times New Roman" w:cs="Times New Roman"/>
          <w:sz w:val="23"/>
          <w:szCs w:val="23"/>
        </w:rPr>
        <w:t>Oficial de Acceso a la Información Pública</w:t>
      </w:r>
    </w:p>
    <w:p w:rsidR="00646329" w:rsidRPr="0022269B" w:rsidRDefault="00646329" w:rsidP="00646329">
      <w:pPr>
        <w:jc w:val="center"/>
        <w:rPr>
          <w:rFonts w:ascii="Times New Roman" w:hAnsi="Times New Roman" w:cs="Times New Roman"/>
          <w:sz w:val="23"/>
          <w:szCs w:val="23"/>
        </w:rPr>
      </w:pPr>
      <w:r w:rsidRPr="0022269B">
        <w:rPr>
          <w:rFonts w:ascii="Times New Roman" w:hAnsi="Times New Roman" w:cs="Times New Roman"/>
          <w:sz w:val="23"/>
          <w:szCs w:val="23"/>
        </w:rPr>
        <w:t>Alcaldía Municipal de San Francisco Gotera</w:t>
      </w:r>
    </w:p>
    <w:sectPr w:rsidR="00646329" w:rsidRPr="0022269B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01" w:rsidRDefault="009A5801" w:rsidP="00864F11">
      <w:pPr>
        <w:spacing w:after="0" w:line="240" w:lineRule="auto"/>
      </w:pPr>
      <w:r>
        <w:separator/>
      </w:r>
    </w:p>
  </w:endnote>
  <w:endnote w:type="continuationSeparator" w:id="0">
    <w:p w:rsidR="009A5801" w:rsidRDefault="009A5801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01" w:rsidRDefault="009A5801" w:rsidP="00864F11">
      <w:pPr>
        <w:spacing w:after="0" w:line="240" w:lineRule="auto"/>
      </w:pPr>
      <w:r>
        <w:separator/>
      </w:r>
    </w:p>
  </w:footnote>
  <w:footnote w:type="continuationSeparator" w:id="0">
    <w:p w:rsidR="009A5801" w:rsidRDefault="009A5801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7EAF7254" wp14:editId="2BC2018B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4CC20318" wp14:editId="49FD8224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11"/>
    <w:rsid w:val="00002F24"/>
    <w:rsid w:val="000368A4"/>
    <w:rsid w:val="00077D8E"/>
    <w:rsid w:val="000A1D73"/>
    <w:rsid w:val="000B22B2"/>
    <w:rsid w:val="001F7CC7"/>
    <w:rsid w:val="0022269B"/>
    <w:rsid w:val="00291484"/>
    <w:rsid w:val="002F2FC5"/>
    <w:rsid w:val="00343269"/>
    <w:rsid w:val="003A21EE"/>
    <w:rsid w:val="003F17FB"/>
    <w:rsid w:val="00461E49"/>
    <w:rsid w:val="00497E86"/>
    <w:rsid w:val="004B3613"/>
    <w:rsid w:val="004B5495"/>
    <w:rsid w:val="005F5578"/>
    <w:rsid w:val="00602387"/>
    <w:rsid w:val="006241C3"/>
    <w:rsid w:val="00646329"/>
    <w:rsid w:val="006631F8"/>
    <w:rsid w:val="006C40DF"/>
    <w:rsid w:val="00751FBC"/>
    <w:rsid w:val="007A6D0B"/>
    <w:rsid w:val="007B028B"/>
    <w:rsid w:val="007E5D33"/>
    <w:rsid w:val="00864F11"/>
    <w:rsid w:val="008A7AF2"/>
    <w:rsid w:val="008B4DD7"/>
    <w:rsid w:val="00977B22"/>
    <w:rsid w:val="009A5801"/>
    <w:rsid w:val="009B415A"/>
    <w:rsid w:val="00A124A6"/>
    <w:rsid w:val="00A71AE8"/>
    <w:rsid w:val="00B576EE"/>
    <w:rsid w:val="00BE379D"/>
    <w:rsid w:val="00C61874"/>
    <w:rsid w:val="00CC28D6"/>
    <w:rsid w:val="00D5327F"/>
    <w:rsid w:val="00D86303"/>
    <w:rsid w:val="00D93EA9"/>
    <w:rsid w:val="00DD254E"/>
    <w:rsid w:val="00E408C8"/>
    <w:rsid w:val="00F00569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110932"/>
  <w15:docId w15:val="{4469A991-A72E-46E9-8123-A68D7F2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970B-B6CF-46DF-AB9B-76CDAFA7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6</cp:revision>
  <cp:lastPrinted>2019-10-16T17:10:00Z</cp:lastPrinted>
  <dcterms:created xsi:type="dcterms:W3CDTF">2020-01-21T18:50:00Z</dcterms:created>
  <dcterms:modified xsi:type="dcterms:W3CDTF">2021-03-20T21:35:00Z</dcterms:modified>
</cp:coreProperties>
</file>