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Considerando: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I.-</w:t>
      </w:r>
      <w:r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II.-</w:t>
      </w:r>
      <w:r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>
        <w:rPr>
          <w:rFonts w:ascii="Times New Roman" w:hAnsi="Times New Roman" w:cs="Times New Roman"/>
          <w:sz w:val="25"/>
          <w:szCs w:val="25"/>
        </w:rPr>
        <w:t>[la]</w:t>
      </w:r>
      <w:r>
        <w:rPr>
          <w:rFonts w:ascii="Times New Roman" w:hAnsi="Times New Roman" w:cs="Times New Roman"/>
          <w:i/>
          <w:sz w:val="25"/>
          <w:szCs w:val="25"/>
        </w:rPr>
        <w:t xml:space="preserve"> ley </w:t>
      </w:r>
      <w:r>
        <w:rPr>
          <w:rFonts w:ascii="Times New Roman" w:hAnsi="Times New Roman" w:cs="Times New Roman"/>
          <w:sz w:val="25"/>
          <w:szCs w:val="25"/>
        </w:rPr>
        <w:t>[deberá]</w:t>
      </w:r>
      <w:r>
        <w:rPr>
          <w:rFonts w:ascii="Times New Roman" w:hAnsi="Times New Roman" w:cs="Times New Roman"/>
          <w:i/>
          <w:sz w:val="25"/>
          <w:szCs w:val="25"/>
        </w:rPr>
        <w:t xml:space="preserve"> regir</w:t>
      </w:r>
      <w:r>
        <w:rPr>
          <w:rFonts w:ascii="Times New Roman" w:hAnsi="Times New Roman" w:cs="Times New Roman"/>
          <w:sz w:val="25"/>
          <w:szCs w:val="25"/>
        </w:rPr>
        <w:t>[se por]</w:t>
      </w:r>
      <w:r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>
        <w:rPr>
          <w:rFonts w:ascii="Times New Roman" w:hAnsi="Times New Roman" w:cs="Times New Roman"/>
          <w:sz w:val="25"/>
          <w:szCs w:val="25"/>
        </w:rPr>
        <w:t xml:space="preserve"> a. </w:t>
      </w:r>
      <w:r>
        <w:rPr>
          <w:rFonts w:ascii="Times New Roman" w:hAnsi="Times New Roman" w:cs="Times New Roman"/>
          <w:b/>
          <w:sz w:val="25"/>
          <w:szCs w:val="25"/>
        </w:rPr>
        <w:t>Máxima publicidad</w:t>
      </w:r>
      <w:r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>
        <w:rPr>
          <w:rFonts w:ascii="Times New Roman" w:hAnsi="Times New Roman" w:cs="Times New Roman"/>
          <w:b/>
          <w:sz w:val="25"/>
          <w:szCs w:val="25"/>
        </w:rPr>
        <w:t>Disponibilidad</w:t>
      </w:r>
      <w:r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>
        <w:rPr>
          <w:rFonts w:ascii="Times New Roman" w:hAnsi="Times New Roman" w:cs="Times New Roman"/>
          <w:b/>
          <w:sz w:val="25"/>
          <w:szCs w:val="25"/>
        </w:rPr>
        <w:t>Integridad</w:t>
      </w:r>
      <w:r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III.-</w:t>
      </w:r>
      <w:r>
        <w:rPr>
          <w:rFonts w:ascii="Times New Roman" w:hAnsi="Times New Roman" w:cs="Times New Roman"/>
          <w:sz w:val="25"/>
          <w:szCs w:val="25"/>
        </w:rPr>
        <w:t xml:space="preserve"> Que el Capítulo II de la Ley de Acceso a la Información Pública se refiere a la posibilidad que los entes obligados tengan en su poder información que podría clasificarse como Información Reservada</w:t>
      </w:r>
      <w:r>
        <w:rPr>
          <w:rFonts w:ascii="Times New Roman" w:hAnsi="Times New Roman" w:cs="Times New Roman"/>
          <w:i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IV.-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D276B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En virtud de lo previsto y sancionado en el artículo 22 de la Ley de Acceso a la Información Pública, </w:t>
      </w:r>
      <w:r w:rsidR="00966944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: </w:t>
      </w:r>
      <w:r w:rsidR="00966944">
        <w:rPr>
          <w:rFonts w:ascii="Times New Roman" w:hAnsi="Times New Roman" w:cs="Times New Roman"/>
          <w:sz w:val="25"/>
          <w:szCs w:val="25"/>
        </w:rPr>
        <w:t xml:space="preserve">La </w:t>
      </w:r>
      <w:r w:rsidR="00966944">
        <w:rPr>
          <w:rFonts w:ascii="Times New Roman" w:hAnsi="Times New Roman" w:cs="Times New Roman"/>
          <w:b/>
          <w:sz w:val="25"/>
          <w:szCs w:val="25"/>
        </w:rPr>
        <w:t>inexistencia</w:t>
      </w:r>
      <w:r w:rsidR="00966944">
        <w:rPr>
          <w:rFonts w:ascii="Times New Roman" w:hAnsi="Times New Roman" w:cs="Times New Roman"/>
          <w:sz w:val="25"/>
          <w:szCs w:val="25"/>
        </w:rPr>
        <w:t xml:space="preserve"> de Información Reservada en las dependencias y unidades administrativas y operativas </w:t>
      </w:r>
      <w:r>
        <w:rPr>
          <w:rFonts w:ascii="Times New Roman" w:hAnsi="Times New Roman" w:cs="Times New Roman"/>
          <w:sz w:val="25"/>
          <w:szCs w:val="25"/>
        </w:rPr>
        <w:t xml:space="preserve">de la </w:t>
      </w:r>
      <w:r w:rsidR="00966944">
        <w:rPr>
          <w:rFonts w:ascii="Times New Roman" w:hAnsi="Times New Roman" w:cs="Times New Roman"/>
          <w:sz w:val="25"/>
          <w:szCs w:val="25"/>
        </w:rPr>
        <w:t xml:space="preserve">municipalidad de San Francisco Gotera, </w:t>
      </w:r>
      <w:r>
        <w:rPr>
          <w:rFonts w:ascii="Times New Roman" w:hAnsi="Times New Roman" w:cs="Times New Roman"/>
          <w:sz w:val="25"/>
          <w:szCs w:val="25"/>
        </w:rPr>
        <w:t xml:space="preserve">para el periodo del 1 de </w:t>
      </w:r>
      <w:r w:rsidR="009178DB">
        <w:rPr>
          <w:rFonts w:ascii="Times New Roman" w:hAnsi="Times New Roman" w:cs="Times New Roman"/>
          <w:sz w:val="25"/>
          <w:szCs w:val="25"/>
        </w:rPr>
        <w:t>enero al 30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9178DB">
        <w:rPr>
          <w:rFonts w:ascii="Times New Roman" w:hAnsi="Times New Roman" w:cs="Times New Roman"/>
          <w:sz w:val="25"/>
          <w:szCs w:val="25"/>
        </w:rPr>
        <w:t>junio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 xml:space="preserve"> del</w:t>
      </w:r>
      <w:r w:rsidR="00966944">
        <w:rPr>
          <w:rFonts w:ascii="Times New Roman" w:hAnsi="Times New Roman" w:cs="Times New Roman"/>
          <w:sz w:val="25"/>
          <w:szCs w:val="25"/>
        </w:rPr>
        <w:t xml:space="preserve"> año dos mil </w:t>
      </w:r>
      <w:r>
        <w:rPr>
          <w:rFonts w:ascii="Times New Roman" w:hAnsi="Times New Roman" w:cs="Times New Roman"/>
          <w:sz w:val="25"/>
          <w:szCs w:val="25"/>
        </w:rPr>
        <w:t>veinte</w:t>
      </w:r>
      <w:r w:rsidR="00966944">
        <w:rPr>
          <w:rFonts w:ascii="Times New Roman" w:hAnsi="Times New Roman" w:cs="Times New Roman"/>
          <w:sz w:val="25"/>
          <w:szCs w:val="25"/>
        </w:rPr>
        <w:t>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</w:t>
      </w:r>
      <w:r w:rsidR="00AF10CC">
        <w:rPr>
          <w:rFonts w:ascii="Times New Roman" w:hAnsi="Times New Roman" w:cs="Times New Roman"/>
          <w:sz w:val="25"/>
          <w:szCs w:val="25"/>
        </w:rPr>
        <w:t xml:space="preserve"> que</w:t>
      </w:r>
      <w:r>
        <w:rPr>
          <w:rFonts w:ascii="Times New Roman" w:hAnsi="Times New Roman" w:cs="Times New Roman"/>
          <w:sz w:val="25"/>
          <w:szCs w:val="25"/>
        </w:rPr>
        <w:t xml:space="preserve"> la anterior resolución sea del conocimiento de la población en general, extiéndase, fírmese y séllese la presente declaratoria de Inexistencia en la Ciudad de San Francisco Gotera, departamento de Morazán a los </w:t>
      </w:r>
      <w:r w:rsidR="009178DB">
        <w:rPr>
          <w:rFonts w:ascii="Times New Roman" w:hAnsi="Times New Roman" w:cs="Times New Roman"/>
          <w:sz w:val="25"/>
          <w:szCs w:val="25"/>
        </w:rPr>
        <w:t>treinta</w:t>
      </w:r>
      <w:r>
        <w:rPr>
          <w:rFonts w:ascii="Times New Roman" w:hAnsi="Times New Roman" w:cs="Times New Roman"/>
          <w:sz w:val="25"/>
          <w:szCs w:val="25"/>
        </w:rPr>
        <w:t xml:space="preserve"> días del mes de </w:t>
      </w:r>
      <w:r w:rsidR="009178DB">
        <w:rPr>
          <w:rFonts w:ascii="Times New Roman" w:hAnsi="Times New Roman" w:cs="Times New Roman"/>
          <w:sz w:val="25"/>
          <w:szCs w:val="25"/>
        </w:rPr>
        <w:t>junio</w:t>
      </w:r>
      <w:r>
        <w:rPr>
          <w:rFonts w:ascii="Times New Roman" w:hAnsi="Times New Roman" w:cs="Times New Roman"/>
          <w:sz w:val="25"/>
          <w:szCs w:val="25"/>
        </w:rPr>
        <w:t xml:space="preserve"> del año dos mil veinte.</w:t>
      </w: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966944" w:rsidRDefault="00966944" w:rsidP="0096694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Oficial de Información Pública</w:t>
      </w:r>
    </w:p>
    <w:p w:rsidR="00CB2FB4" w:rsidRDefault="00966944" w:rsidP="00AF10CC">
      <w:pPr>
        <w:jc w:val="center"/>
      </w:pPr>
      <w:r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CB2F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4"/>
    <w:rsid w:val="009178DB"/>
    <w:rsid w:val="00966944"/>
    <w:rsid w:val="009D276B"/>
    <w:rsid w:val="00AF10CC"/>
    <w:rsid w:val="00CB2FB4"/>
    <w:rsid w:val="00E5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6FB50"/>
  <w15:docId w15:val="{9A15BA19-C301-4558-8695-067AC3C1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6</cp:revision>
  <dcterms:created xsi:type="dcterms:W3CDTF">2020-01-16T19:32:00Z</dcterms:created>
  <dcterms:modified xsi:type="dcterms:W3CDTF">2021-03-20T21:10:00Z</dcterms:modified>
</cp:coreProperties>
</file>