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E7" w:rsidRPr="009313AB" w:rsidRDefault="008873E7" w:rsidP="008873E7">
      <w:pPr>
        <w:spacing w:line="240" w:lineRule="auto"/>
        <w:ind w:left="284"/>
        <w:jc w:val="both"/>
        <w:rPr>
          <w:rFonts w:ascii="Times New Roman" w:hAnsi="Times New Roman" w:cs="Times New Roman"/>
          <w:color w:val="000000" w:themeColor="text1"/>
          <w:sz w:val="24"/>
          <w:szCs w:val="24"/>
        </w:rPr>
      </w:pPr>
      <w:bookmarkStart w:id="0" w:name="_GoBack"/>
      <w:bookmarkEnd w:id="0"/>
      <w:r w:rsidRPr="009313AB">
        <w:rPr>
          <w:rFonts w:ascii="Times New Roman" w:hAnsi="Times New Roman" w:cs="Times New Roman"/>
          <w:color w:val="000000" w:themeColor="text1"/>
          <w:sz w:val="24"/>
          <w:szCs w:val="24"/>
          <w:u w:val="single"/>
        </w:rPr>
        <w:t>ACTA NÚMERO QUINCE (15):</w:t>
      </w:r>
      <w:r w:rsidRPr="009313AB">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veinte de Abril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8873E7" w:rsidRPr="009313AB" w:rsidRDefault="008873E7" w:rsidP="008873E7">
      <w:pPr>
        <w:shd w:val="clear" w:color="auto" w:fill="FFFFFF"/>
        <w:spacing w:after="0" w:line="240" w:lineRule="auto"/>
        <w:ind w:left="284"/>
        <w:jc w:val="both"/>
        <w:rPr>
          <w:rFonts w:ascii="Calibri" w:eastAsia="Times New Roman" w:hAnsi="Calibri" w:cs="Calibri"/>
          <w:color w:val="222222"/>
          <w:sz w:val="24"/>
          <w:szCs w:val="24"/>
          <w:lang w:eastAsia="es-SV"/>
        </w:rPr>
      </w:pPr>
      <w:r w:rsidRPr="009313AB">
        <w:rPr>
          <w:rFonts w:ascii="Times New Roman" w:eastAsia="Times New Roman" w:hAnsi="Times New Roman" w:cs="Times New Roman"/>
          <w:bCs/>
          <w:color w:val="222222"/>
          <w:sz w:val="24"/>
          <w:szCs w:val="24"/>
          <w:u w:val="single"/>
          <w:lang w:eastAsia="es-SV"/>
        </w:rPr>
        <w:t>ACUERDO NÚMERO UNO (01)</w:t>
      </w:r>
      <w:r w:rsidRPr="009313AB">
        <w:rPr>
          <w:rFonts w:ascii="Times New Roman" w:eastAsia="Times New Roman" w:hAnsi="Times New Roman" w:cs="Times New Roman"/>
          <w:color w:val="222222"/>
          <w:sz w:val="24"/>
          <w:szCs w:val="24"/>
          <w:lang w:eastAsia="es-SV"/>
        </w:rPr>
        <w:t>: El Concejo Municipal, atendiendo petición del Gerente General de la Municipalidad, con relación al caso de los Policías Municipales: José Matías Mejía, Héctor Alexander Hernández Ramírez, Selvin Denis Rivera Ascencio y Antonio Amaya García con relación a la aplicación del artículo 1 del Decreto Ministerial número seis “Disposiciones para ordenar a los trabajadores el retorno a su domicilio”, publicado en el Diario Oficial número 6, Tomo 426 de fecha 16 de marzo de 2020, este Concejo Municipal luego de analizadas las explicaciones vertidas y el caso en concreto de cada uno de los mencionados, </w:t>
      </w:r>
      <w:r w:rsidRPr="009313AB">
        <w:rPr>
          <w:rFonts w:ascii="Times New Roman" w:eastAsia="Times New Roman" w:hAnsi="Times New Roman" w:cs="Times New Roman"/>
          <w:b/>
          <w:bCs/>
          <w:color w:val="222222"/>
          <w:sz w:val="24"/>
          <w:szCs w:val="24"/>
          <w:lang w:eastAsia="es-SV"/>
        </w:rPr>
        <w:t>ACUERDA:</w:t>
      </w:r>
      <w:r w:rsidRPr="009313AB">
        <w:rPr>
          <w:rFonts w:ascii="Times New Roman" w:eastAsia="Times New Roman" w:hAnsi="Times New Roman" w:cs="Times New Roman"/>
          <w:color w:val="222222"/>
          <w:sz w:val="24"/>
          <w:szCs w:val="24"/>
          <w:lang w:eastAsia="es-SV"/>
        </w:rPr>
        <w:t> Enviar a casa, para efectos de cuarentena domiciliar, con goce de todas las prestaciones laborales inherentes, a los Agentes Municipales: José Matías Mejía, Héctor Alexander Hernández Ramírez, Selvin Denis Rivera Ascencio, de quienes por razones de protección de datos sensibles no se puede expresar motivos, pero que a consideración del Concejo Municipal, encajan en los supuestos previstos en el artículo 1 del antes referido Decreto Ministerial.</w:t>
      </w:r>
    </w:p>
    <w:p w:rsidR="008873E7" w:rsidRPr="009313AB" w:rsidRDefault="008873E7" w:rsidP="008873E7">
      <w:pPr>
        <w:shd w:val="clear" w:color="auto" w:fill="FFFFFF"/>
        <w:spacing w:after="0" w:line="240" w:lineRule="auto"/>
        <w:ind w:left="284"/>
        <w:jc w:val="both"/>
        <w:rPr>
          <w:rFonts w:ascii="Calibri" w:eastAsia="Times New Roman" w:hAnsi="Calibri" w:cs="Calibri"/>
          <w:color w:val="222222"/>
          <w:sz w:val="24"/>
          <w:szCs w:val="24"/>
          <w:lang w:eastAsia="es-SV"/>
        </w:rPr>
      </w:pPr>
      <w:r w:rsidRPr="009313AB">
        <w:rPr>
          <w:rFonts w:ascii="Times New Roman" w:eastAsia="Times New Roman" w:hAnsi="Times New Roman" w:cs="Times New Roman"/>
          <w:color w:val="222222"/>
          <w:sz w:val="24"/>
          <w:szCs w:val="24"/>
          <w:lang w:eastAsia="es-SV"/>
        </w:rPr>
        <w:t> </w:t>
      </w:r>
    </w:p>
    <w:p w:rsidR="008873E7" w:rsidRPr="009313AB" w:rsidRDefault="008873E7" w:rsidP="008873E7">
      <w:pPr>
        <w:shd w:val="clear" w:color="auto" w:fill="FFFFFF"/>
        <w:spacing w:after="0" w:line="240" w:lineRule="auto"/>
        <w:ind w:left="284"/>
        <w:jc w:val="both"/>
        <w:rPr>
          <w:rFonts w:ascii="Calibri" w:eastAsia="Times New Roman" w:hAnsi="Calibri" w:cs="Calibri"/>
          <w:color w:val="222222"/>
          <w:sz w:val="24"/>
          <w:szCs w:val="24"/>
          <w:lang w:eastAsia="es-SV"/>
        </w:rPr>
      </w:pPr>
      <w:r w:rsidRPr="009313AB">
        <w:rPr>
          <w:rFonts w:ascii="Times New Roman" w:eastAsia="Times New Roman" w:hAnsi="Times New Roman" w:cs="Times New Roman"/>
          <w:color w:val="222222"/>
          <w:sz w:val="24"/>
          <w:szCs w:val="24"/>
          <w:lang w:eastAsia="es-SV"/>
        </w:rPr>
        <w:t>De la decisión anterior no abarca al señor Antonio Amaya García, quien a pesar de tener más de sesenta años de edad, encaja en el supuesto comprendido en el inciso 3ro del artículo 1 del antes referido Decreto Ministerial.</w:t>
      </w:r>
    </w:p>
    <w:p w:rsidR="008873E7" w:rsidRPr="000A0380" w:rsidRDefault="008873E7" w:rsidP="008873E7">
      <w:pPr>
        <w:shd w:val="clear" w:color="auto" w:fill="FFFFFF"/>
        <w:spacing w:after="0" w:line="240" w:lineRule="auto"/>
        <w:ind w:left="284"/>
        <w:jc w:val="both"/>
        <w:rPr>
          <w:rFonts w:ascii="Calibri" w:eastAsia="Times New Roman" w:hAnsi="Calibri" w:cs="Calibri"/>
          <w:color w:val="222222"/>
          <w:sz w:val="24"/>
          <w:szCs w:val="24"/>
          <w:lang w:eastAsia="es-SV"/>
        </w:rPr>
      </w:pPr>
      <w:r w:rsidRPr="000A0380">
        <w:rPr>
          <w:rFonts w:ascii="Times New Roman" w:eastAsia="Times New Roman" w:hAnsi="Times New Roman" w:cs="Times New Roman"/>
          <w:color w:val="222222"/>
          <w:sz w:val="24"/>
          <w:szCs w:val="24"/>
          <w:lang w:eastAsia="es-SV"/>
        </w:rPr>
        <w:t> </w:t>
      </w:r>
    </w:p>
    <w:p w:rsidR="008873E7" w:rsidRDefault="008873E7" w:rsidP="008873E7">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0A0380">
        <w:rPr>
          <w:rFonts w:ascii="Times New Roman" w:eastAsia="Times New Roman" w:hAnsi="Times New Roman" w:cs="Times New Roman"/>
          <w:color w:val="222222"/>
          <w:sz w:val="24"/>
          <w:szCs w:val="24"/>
          <w:lang w:eastAsia="es-SV"/>
        </w:rPr>
        <w:t>La cuarentana domiciliar de los señores José Matías Mejía, Héctor Alexander Hernández Ramírez, Selvin Denis Rivera Ascencio, se mantendrá así hasta que el MINSAL haya ordenado lo contrario. NOTIFIQUESE.</w:t>
      </w:r>
    </w:p>
    <w:p w:rsidR="008873E7" w:rsidRDefault="008873E7" w:rsidP="008873E7">
      <w:pPr>
        <w:shd w:val="clear" w:color="auto" w:fill="FFFFFF"/>
        <w:spacing w:after="0" w:line="240" w:lineRule="auto"/>
        <w:ind w:left="284"/>
        <w:jc w:val="both"/>
        <w:rPr>
          <w:rFonts w:ascii="Times New Roman" w:eastAsia="Times New Roman" w:hAnsi="Times New Roman" w:cs="Times New Roman"/>
          <w:color w:val="FF0000"/>
          <w:sz w:val="24"/>
          <w:szCs w:val="24"/>
          <w:lang w:eastAsia="es-SV"/>
        </w:rPr>
      </w:pPr>
    </w:p>
    <w:p w:rsidR="008873E7" w:rsidRPr="00946AED" w:rsidRDefault="008873E7" w:rsidP="008873E7">
      <w:pPr>
        <w:pStyle w:val="Prrafodelista"/>
        <w:spacing w:after="0" w:line="240" w:lineRule="auto"/>
        <w:ind w:left="284"/>
        <w:jc w:val="both"/>
        <w:outlineLvl w:val="0"/>
        <w:rPr>
          <w:rFonts w:ascii="Times New Roman" w:hAnsi="Times New Roman" w:cs="Times New Roman"/>
          <w:color w:val="000000" w:themeColor="text1"/>
          <w:sz w:val="24"/>
          <w:szCs w:val="24"/>
        </w:rPr>
      </w:pPr>
      <w:r w:rsidRPr="00946AED">
        <w:rPr>
          <w:rFonts w:ascii="Times New Roman" w:hAnsi="Times New Roman" w:cs="Times New Roman"/>
          <w:color w:val="000000" w:themeColor="text1"/>
          <w:sz w:val="24"/>
          <w:szCs w:val="24"/>
          <w:u w:val="single"/>
        </w:rPr>
        <w:t>ACUERDO NUMERO DOS (02):</w:t>
      </w:r>
      <w:r w:rsidRPr="00946AED">
        <w:rPr>
          <w:rFonts w:ascii="Times New Roman" w:hAnsi="Times New Roman" w:cs="Times New Roman"/>
          <w:color w:val="000000" w:themeColor="text1"/>
          <w:sz w:val="24"/>
          <w:szCs w:val="24"/>
        </w:rPr>
        <w:t xml:space="preserve"> Modifíquese el Acuerdo Número UNO, del Acta Número CATORCE, de fecha catorce de Abril de 2020, así: Habiéndose realizado descuento por el monto de CUARENTA 77/100 Dólares, ($ 40.77 Dólares), durante el mes  de Abril 2020, a cada uno de los empleados que se relacionan</w:t>
      </w:r>
      <w:r>
        <w:rPr>
          <w:rFonts w:ascii="Times New Roman" w:hAnsi="Times New Roman" w:cs="Times New Roman"/>
          <w:color w:val="000000" w:themeColor="text1"/>
          <w:sz w:val="24"/>
          <w:szCs w:val="24"/>
        </w:rPr>
        <w:t xml:space="preserve">; </w:t>
      </w:r>
      <w:r w:rsidRPr="00946AED">
        <w:rPr>
          <w:rFonts w:ascii="Times New Roman" w:hAnsi="Times New Roman" w:cs="Times New Roman"/>
          <w:color w:val="000000" w:themeColor="text1"/>
          <w:sz w:val="24"/>
          <w:szCs w:val="24"/>
        </w:rPr>
        <w:t xml:space="preserve"> Gírense instrucciones a Gerencia General, Desarrollo Humano, Contabilidad y Tesorería, proceder al complemento de descuento del salario de los empleados responsables: conforme el siguiente detalle: </w:t>
      </w:r>
    </w:p>
    <w:tbl>
      <w:tblPr>
        <w:tblStyle w:val="Tablaconcuadrcula"/>
        <w:tblW w:w="0" w:type="auto"/>
        <w:tblInd w:w="392" w:type="dxa"/>
        <w:tblLook w:val="04A0" w:firstRow="1" w:lastRow="0" w:firstColumn="1" w:lastColumn="0" w:noHBand="0" w:noVBand="1"/>
      </w:tblPr>
      <w:tblGrid>
        <w:gridCol w:w="3027"/>
        <w:gridCol w:w="1917"/>
        <w:gridCol w:w="1714"/>
        <w:gridCol w:w="2004"/>
      </w:tblGrid>
      <w:tr w:rsidR="008873E7" w:rsidRPr="00946AED" w:rsidTr="00DA2BFF">
        <w:tc>
          <w:tcPr>
            <w:tcW w:w="3544" w:type="dxa"/>
          </w:tcPr>
          <w:p w:rsidR="008873E7" w:rsidRPr="00946AED" w:rsidRDefault="008873E7" w:rsidP="00DA2BFF">
            <w:pPr>
              <w:pStyle w:val="Prrafodelista"/>
              <w:ind w:left="0"/>
              <w:jc w:val="center"/>
              <w:outlineLvl w:val="0"/>
              <w:rPr>
                <w:b/>
                <w:color w:val="000000" w:themeColor="text1"/>
                <w:sz w:val="24"/>
                <w:szCs w:val="24"/>
              </w:rPr>
            </w:pPr>
            <w:r w:rsidRPr="00946AED">
              <w:rPr>
                <w:b/>
                <w:color w:val="000000" w:themeColor="text1"/>
                <w:sz w:val="24"/>
                <w:szCs w:val="24"/>
              </w:rPr>
              <w:t>Nombre</w:t>
            </w:r>
          </w:p>
        </w:tc>
        <w:tc>
          <w:tcPr>
            <w:tcW w:w="2126" w:type="dxa"/>
          </w:tcPr>
          <w:p w:rsidR="008873E7" w:rsidRPr="00946AED" w:rsidRDefault="008873E7" w:rsidP="00DA2BFF">
            <w:pPr>
              <w:pStyle w:val="Prrafodelista"/>
              <w:ind w:left="0"/>
              <w:jc w:val="center"/>
              <w:outlineLvl w:val="0"/>
              <w:rPr>
                <w:b/>
                <w:color w:val="000000" w:themeColor="text1"/>
                <w:sz w:val="24"/>
                <w:szCs w:val="24"/>
              </w:rPr>
            </w:pPr>
            <w:r w:rsidRPr="00946AED">
              <w:rPr>
                <w:b/>
                <w:color w:val="000000" w:themeColor="text1"/>
                <w:sz w:val="24"/>
                <w:szCs w:val="24"/>
              </w:rPr>
              <w:t>Cargo</w:t>
            </w:r>
          </w:p>
        </w:tc>
        <w:tc>
          <w:tcPr>
            <w:tcW w:w="1843" w:type="dxa"/>
          </w:tcPr>
          <w:p w:rsidR="008873E7" w:rsidRPr="00946AED" w:rsidRDefault="008873E7" w:rsidP="00DA2BFF">
            <w:pPr>
              <w:pStyle w:val="Prrafodelista"/>
              <w:ind w:left="0"/>
              <w:jc w:val="center"/>
              <w:outlineLvl w:val="0"/>
              <w:rPr>
                <w:b/>
                <w:color w:val="000000" w:themeColor="text1"/>
                <w:sz w:val="24"/>
                <w:szCs w:val="24"/>
              </w:rPr>
            </w:pPr>
            <w:r w:rsidRPr="00946AED">
              <w:rPr>
                <w:b/>
                <w:color w:val="000000" w:themeColor="text1"/>
                <w:sz w:val="24"/>
                <w:szCs w:val="24"/>
              </w:rPr>
              <w:t>Descuento mensual</w:t>
            </w:r>
          </w:p>
        </w:tc>
        <w:tc>
          <w:tcPr>
            <w:tcW w:w="2234" w:type="dxa"/>
          </w:tcPr>
          <w:p w:rsidR="008873E7" w:rsidRPr="00946AED" w:rsidRDefault="008873E7" w:rsidP="00DA2BFF">
            <w:pPr>
              <w:pStyle w:val="Prrafodelista"/>
              <w:ind w:left="0"/>
              <w:jc w:val="center"/>
              <w:outlineLvl w:val="0"/>
              <w:rPr>
                <w:b/>
                <w:color w:val="000000" w:themeColor="text1"/>
                <w:sz w:val="24"/>
                <w:szCs w:val="24"/>
              </w:rPr>
            </w:pPr>
            <w:r w:rsidRPr="00946AED">
              <w:rPr>
                <w:b/>
                <w:color w:val="000000" w:themeColor="text1"/>
                <w:sz w:val="24"/>
                <w:szCs w:val="24"/>
              </w:rPr>
              <w:t>Periodo 3 meses</w:t>
            </w:r>
          </w:p>
        </w:tc>
      </w:tr>
      <w:tr w:rsidR="008873E7" w:rsidRPr="00946AED" w:rsidTr="00DA2BFF">
        <w:tc>
          <w:tcPr>
            <w:tcW w:w="354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lastRenderedPageBreak/>
              <w:t>Mauro Antonio Sermeño</w:t>
            </w:r>
          </w:p>
        </w:tc>
        <w:tc>
          <w:tcPr>
            <w:tcW w:w="2126"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Policía Municipal</w:t>
            </w:r>
          </w:p>
        </w:tc>
        <w:tc>
          <w:tcPr>
            <w:tcW w:w="1843" w:type="dxa"/>
          </w:tcPr>
          <w:p w:rsidR="008873E7" w:rsidRPr="00946AED" w:rsidRDefault="008873E7" w:rsidP="00DA2BFF">
            <w:pPr>
              <w:pStyle w:val="Prrafodelista"/>
              <w:ind w:left="0"/>
              <w:jc w:val="center"/>
              <w:outlineLvl w:val="0"/>
              <w:rPr>
                <w:color w:val="000000" w:themeColor="text1"/>
                <w:sz w:val="24"/>
                <w:szCs w:val="24"/>
              </w:rPr>
            </w:pPr>
            <w:r w:rsidRPr="00946AED">
              <w:rPr>
                <w:color w:val="000000" w:themeColor="text1"/>
                <w:sz w:val="24"/>
                <w:szCs w:val="24"/>
              </w:rPr>
              <w:t>$ 27.18</w:t>
            </w:r>
          </w:p>
        </w:tc>
        <w:tc>
          <w:tcPr>
            <w:tcW w:w="223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Jun</w:t>
            </w:r>
            <w:r>
              <w:rPr>
                <w:color w:val="000000" w:themeColor="text1"/>
                <w:sz w:val="24"/>
                <w:szCs w:val="24"/>
              </w:rPr>
              <w:t>io- Agosto</w:t>
            </w:r>
            <w:r w:rsidRPr="00946AED">
              <w:rPr>
                <w:color w:val="000000" w:themeColor="text1"/>
                <w:sz w:val="24"/>
                <w:szCs w:val="24"/>
              </w:rPr>
              <w:t>/20</w:t>
            </w:r>
          </w:p>
        </w:tc>
      </w:tr>
      <w:tr w:rsidR="008873E7" w:rsidRPr="00946AED" w:rsidTr="00DA2BFF">
        <w:tc>
          <w:tcPr>
            <w:tcW w:w="354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Rommel Bernárdez</w:t>
            </w:r>
          </w:p>
        </w:tc>
        <w:tc>
          <w:tcPr>
            <w:tcW w:w="2126"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Policía Municipal</w:t>
            </w:r>
          </w:p>
        </w:tc>
        <w:tc>
          <w:tcPr>
            <w:tcW w:w="1843" w:type="dxa"/>
          </w:tcPr>
          <w:p w:rsidR="008873E7" w:rsidRPr="00946AED" w:rsidRDefault="008873E7" w:rsidP="00DA2BFF">
            <w:pPr>
              <w:pStyle w:val="Prrafodelista"/>
              <w:ind w:left="0"/>
              <w:jc w:val="center"/>
              <w:outlineLvl w:val="0"/>
              <w:rPr>
                <w:color w:val="000000" w:themeColor="text1"/>
                <w:sz w:val="24"/>
                <w:szCs w:val="24"/>
              </w:rPr>
            </w:pPr>
            <w:r w:rsidRPr="00946AED">
              <w:rPr>
                <w:color w:val="000000" w:themeColor="text1"/>
                <w:sz w:val="24"/>
                <w:szCs w:val="24"/>
              </w:rPr>
              <w:t>$ 27.18</w:t>
            </w:r>
          </w:p>
        </w:tc>
        <w:tc>
          <w:tcPr>
            <w:tcW w:w="223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Jun</w:t>
            </w:r>
            <w:r>
              <w:rPr>
                <w:color w:val="000000" w:themeColor="text1"/>
                <w:sz w:val="24"/>
                <w:szCs w:val="24"/>
              </w:rPr>
              <w:t>io- Agosto</w:t>
            </w:r>
            <w:r w:rsidRPr="00946AED">
              <w:rPr>
                <w:color w:val="000000" w:themeColor="text1"/>
                <w:sz w:val="24"/>
                <w:szCs w:val="24"/>
              </w:rPr>
              <w:t>/20</w:t>
            </w:r>
          </w:p>
        </w:tc>
      </w:tr>
      <w:tr w:rsidR="008873E7" w:rsidRPr="00946AED" w:rsidTr="00DA2BFF">
        <w:tc>
          <w:tcPr>
            <w:tcW w:w="354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Lucio Elenilson Hernández Claros</w:t>
            </w:r>
          </w:p>
        </w:tc>
        <w:tc>
          <w:tcPr>
            <w:tcW w:w="2126"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Policía Municipal</w:t>
            </w:r>
          </w:p>
        </w:tc>
        <w:tc>
          <w:tcPr>
            <w:tcW w:w="1843" w:type="dxa"/>
          </w:tcPr>
          <w:p w:rsidR="008873E7" w:rsidRPr="00946AED" w:rsidRDefault="008873E7" w:rsidP="00DA2BFF">
            <w:pPr>
              <w:pStyle w:val="Prrafodelista"/>
              <w:ind w:left="0"/>
              <w:jc w:val="center"/>
              <w:outlineLvl w:val="0"/>
              <w:rPr>
                <w:color w:val="000000" w:themeColor="text1"/>
                <w:sz w:val="24"/>
                <w:szCs w:val="24"/>
              </w:rPr>
            </w:pPr>
            <w:r w:rsidRPr="00946AED">
              <w:rPr>
                <w:color w:val="000000" w:themeColor="text1"/>
                <w:sz w:val="24"/>
                <w:szCs w:val="24"/>
              </w:rPr>
              <w:t>$ 27.18</w:t>
            </w:r>
          </w:p>
        </w:tc>
        <w:tc>
          <w:tcPr>
            <w:tcW w:w="2234" w:type="dxa"/>
          </w:tcPr>
          <w:p w:rsidR="008873E7" w:rsidRPr="00946AED" w:rsidRDefault="008873E7" w:rsidP="00DA2BFF">
            <w:pPr>
              <w:pStyle w:val="Prrafodelista"/>
              <w:ind w:left="0"/>
              <w:jc w:val="both"/>
              <w:outlineLvl w:val="0"/>
              <w:rPr>
                <w:color w:val="000000" w:themeColor="text1"/>
                <w:sz w:val="24"/>
                <w:szCs w:val="24"/>
              </w:rPr>
            </w:pPr>
            <w:r w:rsidRPr="00946AED">
              <w:rPr>
                <w:color w:val="000000" w:themeColor="text1"/>
                <w:sz w:val="24"/>
                <w:szCs w:val="24"/>
              </w:rPr>
              <w:t>Jun</w:t>
            </w:r>
            <w:r>
              <w:rPr>
                <w:color w:val="000000" w:themeColor="text1"/>
                <w:sz w:val="24"/>
                <w:szCs w:val="24"/>
              </w:rPr>
              <w:t>io- Agosto</w:t>
            </w:r>
            <w:r w:rsidRPr="00946AED">
              <w:rPr>
                <w:color w:val="000000" w:themeColor="text1"/>
                <w:sz w:val="24"/>
                <w:szCs w:val="24"/>
              </w:rPr>
              <w:t>/20</w:t>
            </w:r>
          </w:p>
        </w:tc>
      </w:tr>
    </w:tbl>
    <w:p w:rsidR="008873E7" w:rsidRDefault="008873E7" w:rsidP="008873E7">
      <w:pPr>
        <w:pStyle w:val="Prrafodelista"/>
        <w:spacing w:after="0" w:line="240" w:lineRule="auto"/>
        <w:ind w:left="284"/>
        <w:jc w:val="both"/>
        <w:outlineLvl w:val="0"/>
        <w:rPr>
          <w:rFonts w:ascii="Times New Roman" w:hAnsi="Times New Roman" w:cs="Times New Roman"/>
          <w:color w:val="000000" w:themeColor="text1"/>
          <w:sz w:val="24"/>
          <w:szCs w:val="24"/>
        </w:rPr>
      </w:pPr>
      <w:r w:rsidRPr="00946AED">
        <w:rPr>
          <w:rFonts w:ascii="Times New Roman" w:hAnsi="Times New Roman" w:cs="Times New Roman"/>
          <w:color w:val="000000" w:themeColor="text1"/>
          <w:sz w:val="24"/>
          <w:szCs w:val="24"/>
        </w:rPr>
        <w:t>CERTIFIQUESE y CUMPLASE.</w:t>
      </w:r>
    </w:p>
    <w:p w:rsidR="008873E7" w:rsidRPr="00946AED" w:rsidRDefault="008873E7" w:rsidP="008873E7">
      <w:pPr>
        <w:pStyle w:val="Prrafodelista"/>
        <w:spacing w:after="0" w:line="240" w:lineRule="auto"/>
        <w:ind w:left="284"/>
        <w:jc w:val="both"/>
        <w:outlineLvl w:val="0"/>
        <w:rPr>
          <w:rFonts w:ascii="Times New Roman" w:hAnsi="Times New Roman" w:cs="Times New Roman"/>
          <w:color w:val="000000" w:themeColor="text1"/>
          <w:sz w:val="24"/>
          <w:szCs w:val="24"/>
        </w:rPr>
      </w:pPr>
    </w:p>
    <w:p w:rsidR="008873E7" w:rsidRPr="00404546" w:rsidRDefault="008873E7" w:rsidP="008873E7">
      <w:pPr>
        <w:spacing w:after="160" w:line="240" w:lineRule="auto"/>
        <w:ind w:left="284"/>
        <w:jc w:val="both"/>
        <w:rPr>
          <w:rFonts w:ascii="Times New Roman" w:eastAsia="Times New Roman" w:hAnsi="Times New Roman" w:cs="Times New Roman"/>
          <w:color w:val="000000" w:themeColor="text1"/>
          <w:sz w:val="24"/>
          <w:szCs w:val="24"/>
          <w:lang w:eastAsia="es-SV"/>
        </w:rPr>
      </w:pPr>
      <w:r w:rsidRPr="00404546">
        <w:rPr>
          <w:rFonts w:ascii="Times New Roman" w:eastAsia="Batang" w:hAnsi="Times New Roman" w:cs="Times New Roman"/>
          <w:color w:val="000000" w:themeColor="text1"/>
          <w:sz w:val="24"/>
          <w:szCs w:val="24"/>
          <w:u w:val="single"/>
        </w:rPr>
        <w:t>ACUERDO NUMERO TRES (03):</w:t>
      </w:r>
      <w:r w:rsidRPr="00404546">
        <w:rPr>
          <w:rFonts w:ascii="Times New Roman" w:eastAsia="Batang" w:hAnsi="Times New Roman" w:cs="Times New Roman"/>
          <w:color w:val="000000" w:themeColor="text1"/>
          <w:sz w:val="24"/>
          <w:szCs w:val="24"/>
        </w:rPr>
        <w:t xml:space="preserve"> En uso de sus facultades, el Concejo, ACUERDA: Autorizar y aceptar en Concepto de </w:t>
      </w:r>
      <w:r w:rsidRPr="00404546">
        <w:rPr>
          <w:rFonts w:ascii="Times New Roman" w:eastAsia="Batang" w:hAnsi="Times New Roman" w:cs="Times New Roman"/>
          <w:b/>
          <w:color w:val="000000" w:themeColor="text1"/>
          <w:sz w:val="24"/>
          <w:szCs w:val="24"/>
        </w:rPr>
        <w:t>COLABORACIÓN</w:t>
      </w:r>
      <w:r w:rsidRPr="00404546">
        <w:rPr>
          <w:rFonts w:ascii="Times New Roman" w:eastAsia="Batang" w:hAnsi="Times New Roman" w:cs="Times New Roman"/>
          <w:color w:val="000000" w:themeColor="text1"/>
          <w:sz w:val="24"/>
          <w:szCs w:val="24"/>
        </w:rPr>
        <w:t xml:space="preserve">, de parte de la </w:t>
      </w:r>
      <w:r w:rsidRPr="00404546">
        <w:rPr>
          <w:rFonts w:ascii="Times New Roman" w:eastAsia="Batang" w:hAnsi="Times New Roman" w:cs="Times New Roman"/>
          <w:b/>
          <w:color w:val="000000" w:themeColor="text1"/>
          <w:sz w:val="24"/>
          <w:szCs w:val="24"/>
        </w:rPr>
        <w:t>Caja de Crédito de San Francisco Gotera</w:t>
      </w:r>
      <w:r w:rsidRPr="00404546">
        <w:rPr>
          <w:rFonts w:ascii="Times New Roman" w:eastAsia="Batang" w:hAnsi="Times New Roman" w:cs="Times New Roman"/>
          <w:color w:val="000000" w:themeColor="text1"/>
          <w:sz w:val="24"/>
          <w:szCs w:val="24"/>
        </w:rPr>
        <w:t xml:space="preserve">, la suma de </w:t>
      </w:r>
      <w:r w:rsidRPr="00404546">
        <w:rPr>
          <w:rFonts w:ascii="Times New Roman" w:eastAsia="Batang" w:hAnsi="Times New Roman" w:cs="Times New Roman"/>
          <w:b/>
          <w:color w:val="000000" w:themeColor="text1"/>
          <w:sz w:val="24"/>
          <w:szCs w:val="24"/>
        </w:rPr>
        <w:t>DOS MIL 00/100 Dólares, (2.000.00 Dólares),</w:t>
      </w:r>
      <w:r w:rsidRPr="00404546">
        <w:rPr>
          <w:rFonts w:ascii="Times New Roman" w:eastAsia="Batang" w:hAnsi="Times New Roman" w:cs="Times New Roman"/>
          <w:color w:val="000000" w:themeColor="text1"/>
          <w:sz w:val="24"/>
          <w:szCs w:val="24"/>
        </w:rPr>
        <w:t xml:space="preserve"> para la adquisición de </w:t>
      </w:r>
      <w:r w:rsidRPr="00404546">
        <w:rPr>
          <w:rFonts w:ascii="Times New Roman" w:eastAsia="Batang" w:hAnsi="Times New Roman" w:cs="Times New Roman"/>
          <w:b/>
          <w:color w:val="000000" w:themeColor="text1"/>
          <w:sz w:val="24"/>
          <w:szCs w:val="24"/>
        </w:rPr>
        <w:t xml:space="preserve">Dos Sanitúnel </w:t>
      </w:r>
      <w:r w:rsidRPr="00404546">
        <w:rPr>
          <w:rFonts w:ascii="Times New Roman" w:eastAsia="Batang" w:hAnsi="Times New Roman" w:cs="Times New Roman"/>
          <w:color w:val="000000" w:themeColor="text1"/>
          <w:sz w:val="24"/>
          <w:szCs w:val="24"/>
        </w:rPr>
        <w:t xml:space="preserve">con sistema de bomba y filtros de partículas, para ubicar en zonas estratégicas en el Municipio de San Francisco Gotera, para minimizar el riesgo de transmisión del Covid-19. Gírense instrucciones a las Unidades de Contabilidad y Tesorería, para legalizar el ingreso de la colaboración, a los fondos del Presupuesto Municipal vigente, conforme la ley. </w:t>
      </w:r>
    </w:p>
    <w:p w:rsidR="008873E7" w:rsidRPr="00A94B71" w:rsidRDefault="008873E7" w:rsidP="008873E7">
      <w:pPr>
        <w:shd w:val="clear" w:color="auto" w:fill="FFFFFF"/>
        <w:spacing w:after="0" w:line="240" w:lineRule="auto"/>
        <w:ind w:left="284"/>
        <w:jc w:val="both"/>
        <w:rPr>
          <w:rFonts w:ascii="Times New Roman" w:eastAsia="Batang" w:hAnsi="Times New Roman" w:cs="Times New Roman"/>
          <w:color w:val="000000" w:themeColor="text1"/>
        </w:rPr>
      </w:pPr>
      <w:r w:rsidRPr="00404546">
        <w:rPr>
          <w:rFonts w:ascii="Times New Roman" w:eastAsia="Batang" w:hAnsi="Times New Roman" w:cs="Times New Roman"/>
          <w:color w:val="000000" w:themeColor="text1"/>
          <w:sz w:val="24"/>
          <w:szCs w:val="24"/>
          <w:u w:val="single"/>
        </w:rPr>
        <w:t>ACUERDO NUMERO CUATRO (04):</w:t>
      </w:r>
      <w:r w:rsidRPr="00404546">
        <w:rPr>
          <w:rFonts w:ascii="Times New Roman" w:eastAsia="Batang" w:hAnsi="Times New Roman" w:cs="Times New Roman"/>
          <w:color w:val="000000" w:themeColor="text1"/>
          <w:sz w:val="24"/>
          <w:szCs w:val="24"/>
        </w:rPr>
        <w:t xml:space="preserve"> A</w:t>
      </w:r>
      <w:r w:rsidRPr="00404546">
        <w:rPr>
          <w:rFonts w:ascii="Times New Roman" w:hAnsi="Times New Roman" w:cs="Times New Roman"/>
          <w:color w:val="000000" w:themeColor="text1"/>
          <w:sz w:val="24"/>
          <w:szCs w:val="24"/>
        </w:rPr>
        <w:t xml:space="preserve">utorízase la erogación, </w:t>
      </w:r>
      <w:r w:rsidRPr="00404546">
        <w:rPr>
          <w:rFonts w:ascii="Times New Roman" w:eastAsia="Batang" w:hAnsi="Times New Roman" w:cs="Times New Roman"/>
          <w:color w:val="000000" w:themeColor="text1"/>
          <w:sz w:val="24"/>
          <w:szCs w:val="24"/>
        </w:rPr>
        <w:t xml:space="preserve">por la suma de DOS MIL 00/100 Dólares, ($ 2.000.00 Dólares), de </w:t>
      </w:r>
      <w:r w:rsidRPr="00404546">
        <w:rPr>
          <w:rFonts w:ascii="Times New Roman" w:eastAsia="Batang" w:hAnsi="Times New Roman" w:cs="Times New Roman"/>
          <w:b/>
          <w:color w:val="000000" w:themeColor="text1"/>
          <w:sz w:val="24"/>
          <w:szCs w:val="24"/>
        </w:rPr>
        <w:t>Fondos Propios</w:t>
      </w:r>
      <w:r w:rsidRPr="00404546">
        <w:rPr>
          <w:rFonts w:ascii="Times New Roman" w:eastAsia="Batang" w:hAnsi="Times New Roman" w:cs="Times New Roman"/>
          <w:color w:val="000000" w:themeColor="text1"/>
          <w:sz w:val="24"/>
          <w:szCs w:val="24"/>
        </w:rPr>
        <w:t xml:space="preserve">, en concepto de pago a </w:t>
      </w:r>
      <w:r>
        <w:rPr>
          <w:rFonts w:ascii="Times New Roman" w:eastAsia="Batang" w:hAnsi="Times New Roman" w:cs="Times New Roman"/>
          <w:b/>
          <w:color w:val="000000" w:themeColor="text1"/>
          <w:sz w:val="24"/>
          <w:szCs w:val="24"/>
        </w:rPr>
        <w:t>_____________________________,</w:t>
      </w:r>
      <w:r w:rsidRPr="00404546">
        <w:rPr>
          <w:rFonts w:ascii="Times New Roman" w:eastAsia="Batang" w:hAnsi="Times New Roman" w:cs="Times New Roman"/>
          <w:b/>
          <w:color w:val="000000" w:themeColor="text1"/>
          <w:sz w:val="24"/>
          <w:szCs w:val="24"/>
        </w:rPr>
        <w:t xml:space="preserve"> </w:t>
      </w:r>
      <w:r w:rsidRPr="00404546">
        <w:rPr>
          <w:rFonts w:ascii="Times New Roman" w:eastAsia="Batang" w:hAnsi="Times New Roman" w:cs="Times New Roman"/>
          <w:color w:val="000000" w:themeColor="text1"/>
          <w:sz w:val="24"/>
          <w:szCs w:val="24"/>
        </w:rPr>
        <w:t xml:space="preserve">por compra de 2 Sanitúnel con sistema de bomba y filtros de partículas para instalar en puntos estratégicos del Municipio de San Francisco Gotera, para prevención del  COVID-19. Erogación que se aplicará a la Asignación Presupuestaria: </w:t>
      </w:r>
      <w:r w:rsidRPr="00404546">
        <w:rPr>
          <w:rFonts w:ascii="Times New Roman" w:hAnsi="Times New Roman" w:cs="Times New Roman"/>
          <w:color w:val="000000" w:themeColor="text1"/>
          <w:sz w:val="24"/>
          <w:szCs w:val="24"/>
        </w:rPr>
        <w:t>20-9319-1-01-01-2-</w:t>
      </w:r>
      <w:r w:rsidRPr="00404546">
        <w:rPr>
          <w:rFonts w:ascii="Times New Roman" w:eastAsia="Batang" w:hAnsi="Times New Roman" w:cs="Times New Roman"/>
          <w:color w:val="000000" w:themeColor="text1"/>
          <w:sz w:val="24"/>
          <w:szCs w:val="24"/>
        </w:rPr>
        <w:t xml:space="preserve">61699,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 xml:space="preserve">o habiendo </w:t>
      </w:r>
      <w:proofErr w:type="gramStart"/>
      <w:r w:rsidRPr="00A94B71">
        <w:rPr>
          <w:rFonts w:ascii="Times New Roman" w:eastAsia="Batang" w:hAnsi="Times New Roman" w:cs="Times New Roman"/>
          <w:color w:val="000000" w:themeColor="text1"/>
        </w:rPr>
        <w:t>mas</w:t>
      </w:r>
      <w:proofErr w:type="gramEnd"/>
      <w:r w:rsidRPr="00A94B71">
        <w:rPr>
          <w:rFonts w:ascii="Times New Roman" w:eastAsia="Batang" w:hAnsi="Times New Roman" w:cs="Times New Roman"/>
          <w:color w:val="000000" w:themeColor="text1"/>
        </w:rPr>
        <w:t xml:space="preserve"> que hacer constar, se termina la presente que firmamos.</w:t>
      </w:r>
    </w:p>
    <w:p w:rsidR="008873E7" w:rsidRPr="006D273A" w:rsidRDefault="008873E7" w:rsidP="008873E7">
      <w:pPr>
        <w:pStyle w:val="Default"/>
        <w:tabs>
          <w:tab w:val="left" w:pos="1560"/>
        </w:tabs>
        <w:ind w:left="-142" w:firstLine="142"/>
        <w:jc w:val="both"/>
        <w:rPr>
          <w:rFonts w:ascii="Times New Roman" w:eastAsia="Batang" w:hAnsi="Times New Roman" w:cs="Times New Roman"/>
          <w:color w:val="000000" w:themeColor="text1"/>
        </w:rPr>
      </w:pPr>
    </w:p>
    <w:p w:rsidR="008873E7" w:rsidRPr="006D273A" w:rsidRDefault="008873E7" w:rsidP="008873E7">
      <w:pPr>
        <w:pStyle w:val="Default"/>
        <w:tabs>
          <w:tab w:val="left" w:pos="1560"/>
        </w:tabs>
        <w:jc w:val="both"/>
        <w:rPr>
          <w:rFonts w:ascii="Times New Roman" w:eastAsia="Batang" w:hAnsi="Times New Roman" w:cs="Times New Roman"/>
          <w:color w:val="000000" w:themeColor="text1"/>
        </w:rPr>
      </w:pPr>
    </w:p>
    <w:p w:rsidR="008873E7" w:rsidRDefault="008873E7" w:rsidP="008873E7">
      <w:pPr>
        <w:pStyle w:val="Default"/>
        <w:tabs>
          <w:tab w:val="left" w:pos="1560"/>
        </w:tabs>
        <w:jc w:val="both"/>
        <w:rPr>
          <w:rFonts w:ascii="Times New Roman" w:eastAsia="Batang" w:hAnsi="Times New Roman" w:cs="Times New Roman"/>
          <w:color w:val="000000" w:themeColor="text1"/>
        </w:rPr>
      </w:pPr>
    </w:p>
    <w:p w:rsidR="008873E7" w:rsidRDefault="008873E7" w:rsidP="008873E7">
      <w:pPr>
        <w:pStyle w:val="Default"/>
        <w:tabs>
          <w:tab w:val="left" w:pos="1560"/>
        </w:tabs>
        <w:jc w:val="both"/>
        <w:rPr>
          <w:rFonts w:ascii="Times New Roman" w:eastAsia="Batang" w:hAnsi="Times New Roman" w:cs="Times New Roman"/>
          <w:color w:val="000000" w:themeColor="text1"/>
        </w:rPr>
      </w:pPr>
    </w:p>
    <w:p w:rsidR="008873E7" w:rsidRPr="006D273A" w:rsidRDefault="008873E7" w:rsidP="008873E7">
      <w:pPr>
        <w:pStyle w:val="Default"/>
        <w:tabs>
          <w:tab w:val="left" w:pos="1560"/>
        </w:tabs>
        <w:jc w:val="both"/>
        <w:rPr>
          <w:rFonts w:ascii="Times New Roman" w:eastAsia="Batang" w:hAnsi="Times New Roman" w:cs="Times New Roman"/>
          <w:color w:val="000000" w:themeColor="text1"/>
        </w:rPr>
      </w:pPr>
    </w:p>
    <w:p w:rsidR="008873E7" w:rsidRPr="006D273A" w:rsidRDefault="008873E7" w:rsidP="008873E7">
      <w:pPr>
        <w:pStyle w:val="Default"/>
        <w:tabs>
          <w:tab w:val="left" w:pos="1560"/>
        </w:tabs>
        <w:jc w:val="both"/>
        <w:rPr>
          <w:rFonts w:ascii="Times New Roman" w:eastAsia="Batang" w:hAnsi="Times New Roman" w:cs="Times New Roman"/>
          <w:color w:val="000000" w:themeColor="text1"/>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8873E7" w:rsidRDefault="008873E7" w:rsidP="008873E7">
      <w:pPr>
        <w:spacing w:line="240" w:lineRule="auto"/>
        <w:ind w:left="142" w:right="283"/>
        <w:rPr>
          <w:rFonts w:ascii="Times New Roman" w:hAnsi="Times New Roman" w:cs="Times New Roman"/>
          <w:color w:val="000000" w:themeColor="text1"/>
          <w:sz w:val="24"/>
          <w:szCs w:val="24"/>
        </w:rPr>
      </w:pPr>
    </w:p>
    <w:p w:rsidR="008873E7" w:rsidRPr="00C21338" w:rsidRDefault="008873E7" w:rsidP="008873E7">
      <w:pPr>
        <w:spacing w:line="240" w:lineRule="auto"/>
        <w:ind w:left="142" w:right="283"/>
        <w:rPr>
          <w:rFonts w:ascii="Times New Roman" w:hAnsi="Times New Roman" w:cs="Times New Roman"/>
          <w:color w:val="000000" w:themeColor="text1"/>
          <w:sz w:val="24"/>
          <w:szCs w:val="24"/>
        </w:rPr>
      </w:pPr>
    </w:p>
    <w:p w:rsidR="008873E7" w:rsidRDefault="008873E7" w:rsidP="008873E7">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8873E7" w:rsidRDefault="008873E7" w:rsidP="008873E7">
      <w:pPr>
        <w:spacing w:line="240" w:lineRule="auto"/>
        <w:ind w:left="142" w:right="283"/>
        <w:jc w:val="center"/>
        <w:rPr>
          <w:rFonts w:ascii="Times New Roman" w:hAnsi="Times New Roman" w:cs="Times New Roman"/>
          <w:color w:val="000000" w:themeColor="text1"/>
          <w:sz w:val="24"/>
          <w:szCs w:val="24"/>
        </w:rPr>
      </w:pPr>
    </w:p>
    <w:p w:rsidR="00B20195" w:rsidRPr="008873E7" w:rsidRDefault="00B20195" w:rsidP="008873E7"/>
    <w:sectPr w:rsidR="00B20195" w:rsidRPr="008873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20"/>
    <w:rsid w:val="000F3060"/>
    <w:rsid w:val="00215E20"/>
    <w:rsid w:val="003741C5"/>
    <w:rsid w:val="00464A0F"/>
    <w:rsid w:val="005A0235"/>
    <w:rsid w:val="008873E7"/>
    <w:rsid w:val="0092002F"/>
    <w:rsid w:val="009D4D7A"/>
    <w:rsid w:val="00A214FA"/>
    <w:rsid w:val="00B20195"/>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943</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4</cp:revision>
  <dcterms:created xsi:type="dcterms:W3CDTF">2020-09-01T19:54:00Z</dcterms:created>
  <dcterms:modified xsi:type="dcterms:W3CDTF">2020-09-29T17:13:00Z</dcterms:modified>
</cp:coreProperties>
</file>