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23CA9C6A" wp14:editId="2EDF5E75">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rsidTr="000C3A95">
        <w:trPr>
          <w:cantSplit/>
        </w:trPr>
        <w:tc>
          <w:tcPr>
            <w:tcW w:w="1378" w:type="pct"/>
            <w:shd w:val="clear" w:color="auto" w:fill="D9D9D9"/>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rsidTr="000C3A95">
        <w:trPr>
          <w:cantSplit/>
        </w:trPr>
        <w:tc>
          <w:tcPr>
            <w:tcW w:w="5000" w:type="pct"/>
            <w:shd w:val="clear" w:color="auto" w:fill="D9D9D9"/>
          </w:tcPr>
          <w:p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rsidTr="000C3A95">
        <w:tc>
          <w:tcPr>
            <w:tcW w:w="5000" w:type="pct"/>
            <w:shd w:val="clear" w:color="auto" w:fill="auto"/>
          </w:tcPr>
          <w:p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Mujeres: 3</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Síndica Municipal: José Rodolfo Villalobos.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Armando Antonio Chávez Sánchez.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Propietario: Nelson Antonio Ulloa Alvarado.</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René Antonio Quintanilla. </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 Juan René Fabian Posada.</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rsidTr="000C3A95">
        <w:trPr>
          <w:cantSplit/>
          <w:trHeight w:val="502"/>
        </w:trPr>
        <w:tc>
          <w:tcPr>
            <w:tcW w:w="1401" w:type="pct"/>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rsidTr="000C3A95">
        <w:trPr>
          <w:cantSplit/>
          <w:trHeight w:val="239"/>
        </w:trPr>
        <w:tc>
          <w:tcPr>
            <w:tcW w:w="4989" w:type="pct"/>
            <w:gridSpan w:val="2"/>
            <w:shd w:val="pct10" w:color="auto" w:fill="auto"/>
          </w:tcPr>
          <w:p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rsidTr="000C3A95">
        <w:trPr>
          <w:cantSplit/>
        </w:trPr>
        <w:tc>
          <w:tcPr>
            <w:tcW w:w="4989" w:type="pct"/>
            <w:gridSpan w:val="2"/>
            <w:shd w:val="clear" w:color="auto" w:fill="auto"/>
          </w:tcPr>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rsidTr="000C3A95">
        <w:trPr>
          <w:cantSplit/>
        </w:trPr>
        <w:tc>
          <w:tcPr>
            <w:tcW w:w="1403" w:type="pct"/>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rsidTr="000C3A95">
        <w:trPr>
          <w:cantSplit/>
        </w:trPr>
        <w:tc>
          <w:tcPr>
            <w:tcW w:w="4990" w:type="pct"/>
            <w:gridSpan w:val="2"/>
            <w:shd w:val="pct10" w:color="auto" w:fill="auto"/>
          </w:tcPr>
          <w:p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rsidTr="000C3A95">
        <w:trPr>
          <w:cantSplit/>
        </w:trPr>
        <w:tc>
          <w:tcPr>
            <w:tcW w:w="4990" w:type="pct"/>
            <w:gridSpan w:val="2"/>
            <w:shd w:val="clear" w:color="auto" w:fill="auto"/>
          </w:tcPr>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rsidTr="00146708">
        <w:trPr>
          <w:cantSplit/>
        </w:trPr>
        <w:tc>
          <w:tcPr>
            <w:tcW w:w="1467" w:type="pct"/>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rsidTr="00146708">
        <w:trPr>
          <w:cantSplit/>
        </w:trPr>
        <w:tc>
          <w:tcPr>
            <w:tcW w:w="5000" w:type="pct"/>
            <w:gridSpan w:val="2"/>
            <w:shd w:val="pct10" w:color="auto" w:fill="auto"/>
          </w:tcPr>
          <w:p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rsidTr="00146708">
        <w:trPr>
          <w:cantSplit/>
        </w:trPr>
        <w:tc>
          <w:tcPr>
            <w:tcW w:w="5000" w:type="pct"/>
            <w:gridSpan w:val="2"/>
            <w:shd w:val="clear" w:color="auto" w:fill="auto"/>
          </w:tcPr>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Cecilia Maritza Aparicio de Quintanilla </w:t>
      </w: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Asistente: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Dilmar</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Omar Coreas</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rsidTr="000C3A95">
        <w:trPr>
          <w:cantSplit/>
        </w:trPr>
        <w:tc>
          <w:tcPr>
            <w:tcW w:w="1416" w:type="pct"/>
            <w:shd w:val="pct10" w:color="auto" w:fill="auto"/>
          </w:tcPr>
          <w:p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rsidTr="000C3A95">
        <w:trPr>
          <w:cantSplit/>
        </w:trPr>
        <w:tc>
          <w:tcPr>
            <w:tcW w:w="5000" w:type="pct"/>
            <w:gridSpan w:val="2"/>
            <w:shd w:val="pct10" w:color="auto" w:fill="auto"/>
          </w:tcPr>
          <w:p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rsidTr="000C3A95">
        <w:trPr>
          <w:trHeight w:val="2411"/>
        </w:trPr>
        <w:tc>
          <w:tcPr>
            <w:tcW w:w="5000" w:type="pct"/>
            <w:gridSpan w:val="2"/>
            <w:shd w:val="clear" w:color="auto" w:fill="auto"/>
          </w:tcPr>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rsidTr="000C3A95">
        <w:trPr>
          <w:cantSplit/>
        </w:trPr>
        <w:tc>
          <w:tcPr>
            <w:tcW w:w="1508" w:type="pct"/>
            <w:shd w:val="pct10"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rsidTr="000C3A95">
        <w:trPr>
          <w:cantSplit/>
        </w:trPr>
        <w:tc>
          <w:tcPr>
            <w:tcW w:w="4989" w:type="pct"/>
            <w:gridSpan w:val="2"/>
            <w:shd w:val="pct10" w:color="auto" w:fill="auto"/>
          </w:tcPr>
          <w:p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rsidTr="000C3A95">
        <w:trPr>
          <w:cantSplit/>
        </w:trPr>
        <w:tc>
          <w:tcPr>
            <w:tcW w:w="4989" w:type="pct"/>
            <w:gridSpan w:val="2"/>
            <w:shd w:val="clear" w:color="auto" w:fill="auto"/>
          </w:tcPr>
          <w:p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 Sonia Elizabeth Zelaya de Chávez y Carlos Humberto Quintanilla. </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2</w:t>
      </w: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Pr="00F172E4" w:rsidRDefault="00F172E4" w:rsidP="00F172E4">
      <w:pPr>
        <w:rPr>
          <w:sz w:val="52"/>
          <w:szCs w:val="52"/>
          <w:lang w:val="es-ES"/>
        </w:rPr>
      </w:pPr>
    </w:p>
    <w:p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Nelson Antonio Ulloa, </w:t>
      </w:r>
      <w:proofErr w:type="spellStart"/>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proofErr w:type="spellEnd"/>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rsidTr="000C3A95">
        <w:trPr>
          <w:cantSplit/>
        </w:trPr>
        <w:tc>
          <w:tcPr>
            <w:tcW w:w="1443" w:type="pct"/>
            <w:shd w:val="pct10" w:color="auto" w:fill="auto"/>
          </w:tcPr>
          <w:p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rsidTr="000C3A95">
        <w:trPr>
          <w:cantSplit/>
        </w:trPr>
        <w:tc>
          <w:tcPr>
            <w:tcW w:w="5000" w:type="pct"/>
            <w:gridSpan w:val="2"/>
            <w:shd w:val="pct10" w:color="auto" w:fill="auto"/>
          </w:tcPr>
          <w:p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rsidTr="000C3A95">
        <w:trPr>
          <w:cantSplit/>
          <w:trHeight w:val="2890"/>
        </w:trPr>
        <w:tc>
          <w:tcPr>
            <w:tcW w:w="5000" w:type="pct"/>
            <w:gridSpan w:val="2"/>
            <w:shd w:val="clear" w:color="auto" w:fill="auto"/>
          </w:tcPr>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Alfonso Josué Moraga Fuentes.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rsidTr="000C3A95">
        <w:trPr>
          <w:cantSplit/>
        </w:trPr>
        <w:tc>
          <w:tcPr>
            <w:tcW w:w="1529" w:type="pct"/>
            <w:shd w:val="pct10" w:color="auto" w:fill="auto"/>
          </w:tcPr>
          <w:p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rsidTr="000C3A95">
        <w:trPr>
          <w:cantSplit/>
        </w:trPr>
        <w:tc>
          <w:tcPr>
            <w:tcW w:w="5000" w:type="pct"/>
            <w:gridSpan w:val="2"/>
            <w:shd w:val="pct10" w:color="auto" w:fill="auto"/>
          </w:tcPr>
          <w:p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rsidTr="000C3A95">
        <w:trPr>
          <w:cantSplit/>
        </w:trPr>
        <w:tc>
          <w:tcPr>
            <w:tcW w:w="5000" w:type="pct"/>
            <w:gridSpan w:val="2"/>
            <w:shd w:val="clear" w:color="auto" w:fill="auto"/>
          </w:tcPr>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rsidR="00DD523C" w:rsidRDefault="00DD523C" w:rsidP="000C3A95">
            <w:pPr>
              <w:pStyle w:val="Encabezado"/>
              <w:jc w:val="both"/>
              <w:rPr>
                <w:rFonts w:ascii="Calibri" w:hAnsi="Calibri" w:cs="Tahoma"/>
                <w:sz w:val="24"/>
                <w:szCs w:val="24"/>
                <w:lang w:val="es-ES"/>
              </w:rPr>
            </w:pPr>
          </w:p>
        </w:tc>
      </w:tr>
      <w:tr w:rsidR="00DD523C" w:rsidRPr="00336CBA"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Presentar información solicitada por la Unidad de Información Pública y a Gestión Documental de Archivo.</w:t>
            </w:r>
          </w:p>
        </w:tc>
      </w:tr>
    </w:tbl>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Karina Esmeralda Avalos Coto </w:t>
      </w:r>
    </w:p>
    <w:p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DD523C" w:rsidRDefault="00DD523C" w:rsidP="00F172E4">
      <w:pPr>
        <w:tabs>
          <w:tab w:val="left" w:pos="1815"/>
        </w:tabs>
        <w:rPr>
          <w:sz w:val="52"/>
          <w:szCs w:val="52"/>
          <w:lang w:val="es-ES"/>
        </w:rPr>
      </w:pPr>
    </w:p>
    <w:p w:rsidR="00DD523C" w:rsidRDefault="00DD523C" w:rsidP="00F172E4">
      <w:pPr>
        <w:tabs>
          <w:tab w:val="left" w:pos="1815"/>
        </w:tabs>
        <w:rPr>
          <w:sz w:val="52"/>
          <w:szCs w:val="52"/>
          <w:lang w:val="es-ES"/>
        </w:rPr>
      </w:pP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rsidTr="000C3A95">
        <w:trPr>
          <w:cantSplit/>
        </w:trPr>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rsidTr="000C3A95">
        <w:tc>
          <w:tcPr>
            <w:tcW w:w="1359" w:type="pct"/>
            <w:shd w:val="pct10" w:color="auto" w:fill="auto"/>
          </w:tcPr>
          <w:p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Altagracia González de Montes</w:t>
      </w:r>
    </w:p>
    <w:p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D523C" w:rsidRDefault="00DD523C" w:rsidP="00F172E4">
      <w:pPr>
        <w:tabs>
          <w:tab w:val="left" w:pos="1815"/>
        </w:tabs>
        <w:rPr>
          <w:sz w:val="52"/>
          <w:szCs w:val="52"/>
          <w:lang w:val="es-ES"/>
        </w:rPr>
      </w:pPr>
    </w:p>
    <w:p w:rsidR="00843E17" w:rsidRDefault="00843E17" w:rsidP="00F172E4">
      <w:pPr>
        <w:tabs>
          <w:tab w:val="left" w:pos="1815"/>
        </w:tabs>
        <w:rPr>
          <w:sz w:val="52"/>
          <w:szCs w:val="52"/>
          <w:lang w:val="es-ES"/>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 Hugo Armando Rodríguez Cruz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Tesorería: Rosa María Reyes Zelaya </w:t>
      </w:r>
    </w:p>
    <w:p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Hilda Emelina Guadalupe Pacheco Parada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w:t>
      </w:r>
      <w:proofErr w:type="spellEnd"/>
    </w:p>
    <w:p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Alexander Ulloa Carranza y Wilson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rsidTr="000C3A95">
        <w:trPr>
          <w:cantSplit/>
        </w:trPr>
        <w:tc>
          <w:tcPr>
            <w:tcW w:w="1454" w:type="pct"/>
            <w:shd w:val="pct10" w:color="auto" w:fill="auto"/>
          </w:tcPr>
          <w:p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rsidTr="000C3A95">
        <w:trPr>
          <w:cantSplit/>
        </w:trPr>
        <w:tc>
          <w:tcPr>
            <w:tcW w:w="5000" w:type="pct"/>
            <w:gridSpan w:val="2"/>
            <w:shd w:val="pct10" w:color="auto" w:fill="auto"/>
          </w:tcPr>
          <w:p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rsidTr="000C3A95">
        <w:tc>
          <w:tcPr>
            <w:tcW w:w="5000" w:type="pct"/>
            <w:gridSpan w:val="2"/>
            <w:shd w:val="clear" w:color="auto" w:fill="auto"/>
          </w:tcPr>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3</w:t>
      </w:r>
    </w:p>
    <w:p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sz w:val="52"/>
          <w:szCs w:val="52"/>
          <w:lang w:val="es-ES"/>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rsidTr="000C3A95">
        <w:trPr>
          <w:cantSplit/>
        </w:trPr>
        <w:tc>
          <w:tcPr>
            <w:tcW w:w="1382" w:type="pct"/>
            <w:shd w:val="pct10" w:color="auto" w:fill="auto"/>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rsidTr="000C3A95">
        <w:trPr>
          <w:cantSplit/>
        </w:trPr>
        <w:tc>
          <w:tcPr>
            <w:tcW w:w="5000" w:type="pct"/>
            <w:gridSpan w:val="2"/>
            <w:shd w:val="pct10" w:color="auto" w:fill="auto"/>
          </w:tcPr>
          <w:p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rsidTr="000C3A95">
        <w:tc>
          <w:tcPr>
            <w:tcW w:w="5000" w:type="pct"/>
            <w:gridSpan w:val="2"/>
            <w:shd w:val="clear" w:color="auto" w:fill="auto"/>
          </w:tcPr>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 Jorge Manuel Soto Márquez</w:t>
      </w:r>
    </w:p>
    <w:p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Auxiliares: José Rodolfo Marín Urrutia y Isabel Guadalupe Osorio Cañas </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rsidTr="000C3A95">
        <w:trPr>
          <w:cantSplit/>
        </w:trPr>
        <w:tc>
          <w:tcPr>
            <w:tcW w:w="1595" w:type="pct"/>
            <w:shd w:val="pct10" w:color="auto" w:fill="auto"/>
          </w:tcPr>
          <w:p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rsidTr="000C3A95">
        <w:trPr>
          <w:cantSplit/>
        </w:trPr>
        <w:tc>
          <w:tcPr>
            <w:tcW w:w="5000" w:type="pct"/>
            <w:gridSpan w:val="2"/>
            <w:shd w:val="pct10" w:color="auto" w:fill="auto"/>
          </w:tcPr>
          <w:p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rsidTr="000C3A95">
        <w:trPr>
          <w:cantSplit/>
        </w:trPr>
        <w:tc>
          <w:tcPr>
            <w:tcW w:w="5000" w:type="pct"/>
            <w:gridSpan w:val="2"/>
            <w:shd w:val="clear" w:color="auto" w:fill="auto"/>
          </w:tcPr>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Cándida Guadalupe Zelaya de Ulloa, Rosa Delmy García, Jorge Alberto Quintanilla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rsidTr="000C3A95">
        <w:trPr>
          <w:cantSplit/>
        </w:trPr>
        <w:tc>
          <w:tcPr>
            <w:tcW w:w="1595" w:type="pct"/>
            <w:shd w:val="pct10" w:color="auto" w:fill="auto"/>
          </w:tcPr>
          <w:p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rsidTr="000C3A95">
        <w:trPr>
          <w:cantSplit/>
        </w:trPr>
        <w:tc>
          <w:tcPr>
            <w:tcW w:w="5000" w:type="pct"/>
            <w:gridSpan w:val="2"/>
            <w:shd w:val="pct10" w:color="auto" w:fill="auto"/>
          </w:tcPr>
          <w:p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rsidTr="000C3A95">
        <w:trPr>
          <w:cantSplit/>
        </w:trPr>
        <w:tc>
          <w:tcPr>
            <w:tcW w:w="5000" w:type="pct"/>
            <w:gridSpan w:val="2"/>
            <w:shd w:val="clear" w:color="auto" w:fill="auto"/>
          </w:tcPr>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Rigoberto Alonso Soto Guevara  </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rsidTr="000C3A95">
        <w:trPr>
          <w:cantSplit/>
        </w:trPr>
        <w:tc>
          <w:tcPr>
            <w:tcW w:w="1646" w:type="pct"/>
            <w:shd w:val="pct10" w:color="auto" w:fill="auto"/>
          </w:tcPr>
          <w:p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rsidTr="000C3A95">
        <w:trPr>
          <w:cantSplit/>
        </w:trPr>
        <w:tc>
          <w:tcPr>
            <w:tcW w:w="5000" w:type="pct"/>
            <w:gridSpan w:val="2"/>
            <w:shd w:val="pct10" w:color="auto" w:fill="auto"/>
          </w:tcPr>
          <w:p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rsidTr="000C3A95">
        <w:trPr>
          <w:cantSplit/>
        </w:trPr>
        <w:tc>
          <w:tcPr>
            <w:tcW w:w="5000" w:type="pct"/>
            <w:gridSpan w:val="2"/>
            <w:shd w:val="clear" w:color="auto" w:fill="auto"/>
          </w:tcPr>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AD6D55" w:rsidRPr="00AD6D55" w:rsidRDefault="00AD6D55" w:rsidP="00F172E4">
      <w:pPr>
        <w:tabs>
          <w:tab w:val="left" w:pos="1815"/>
        </w:tabs>
        <w:rPr>
          <w:b/>
          <w:bCs/>
          <w:sz w:val="52"/>
          <w:szCs w:val="52"/>
          <w:lang w:val="es-ES"/>
        </w:rPr>
      </w:pPr>
      <w:r w:rsidRPr="00AD6D55">
        <w:rPr>
          <w:rFonts w:ascii="Calibri" w:hAnsi="Calibri"/>
          <w:b/>
          <w:bCs/>
        </w:rPr>
        <w:t xml:space="preserve">Actualizada: </w:t>
      </w:r>
      <w:r w:rsidR="008F75D2">
        <w:rPr>
          <w:rFonts w:ascii="Calibri" w:hAnsi="Calibri"/>
          <w:b/>
          <w:bCs/>
        </w:rPr>
        <w:t xml:space="preserve">Abril </w:t>
      </w:r>
      <w:bookmarkStart w:id="0" w:name="_GoBack"/>
      <w:bookmarkEnd w:id="0"/>
      <w:r w:rsidRPr="00AD6D55">
        <w:rPr>
          <w:rFonts w:ascii="Calibri" w:hAnsi="Calibri"/>
          <w:b/>
          <w:bCs/>
        </w:rPr>
        <w:t>20</w:t>
      </w:r>
      <w:r w:rsidR="00844F37">
        <w:rPr>
          <w:rFonts w:ascii="Calibri" w:hAnsi="Calibri"/>
          <w:b/>
          <w:bCs/>
        </w:rPr>
        <w:t>19</w:t>
      </w:r>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672AD"/>
    <w:rsid w:val="00146708"/>
    <w:rsid w:val="00224A7F"/>
    <w:rsid w:val="0078269B"/>
    <w:rsid w:val="00843E17"/>
    <w:rsid w:val="00844F37"/>
    <w:rsid w:val="008F75D2"/>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E16D"/>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4837</Words>
  <Characters>26605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2020-03-16T17:19:00Z</dcterms:created>
  <dcterms:modified xsi:type="dcterms:W3CDTF">2020-03-16T17:19:00Z</dcterms:modified>
</cp:coreProperties>
</file>