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1A" w:rsidRPr="00334D1A" w:rsidRDefault="00334D1A" w:rsidP="00334D1A">
      <w:pPr>
        <w:spacing w:after="0" w:line="240" w:lineRule="auto"/>
        <w:jc w:val="center"/>
        <w:rPr>
          <w:rFonts w:ascii="Arial" w:eastAsia="Calibri" w:hAnsi="Arial" w:cs="Arial"/>
          <w:b/>
          <w:color w:val="8496B0" w:themeColor="text2" w:themeTint="99"/>
          <w:sz w:val="28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page" w:tblpX="556" w:tblpY="166"/>
        <w:tblW w:w="1437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851"/>
        <w:gridCol w:w="1559"/>
        <w:gridCol w:w="709"/>
        <w:gridCol w:w="709"/>
        <w:gridCol w:w="1417"/>
        <w:gridCol w:w="1225"/>
        <w:gridCol w:w="2126"/>
        <w:gridCol w:w="850"/>
        <w:gridCol w:w="709"/>
        <w:gridCol w:w="1135"/>
      </w:tblGrid>
      <w:tr w:rsidR="00334D1A" w:rsidRPr="00334D1A" w:rsidTr="00BE1AF0">
        <w:trPr>
          <w:trHeight w:val="149"/>
        </w:trPr>
        <w:tc>
          <w:tcPr>
            <w:tcW w:w="534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N°</w:t>
            </w:r>
          </w:p>
        </w:tc>
        <w:tc>
          <w:tcPr>
            <w:tcW w:w="1275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Unidad Administrativa</w:t>
            </w:r>
          </w:p>
        </w:tc>
        <w:tc>
          <w:tcPr>
            <w:tcW w:w="1276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Responsable de reserva</w:t>
            </w:r>
          </w:p>
        </w:tc>
        <w:tc>
          <w:tcPr>
            <w:tcW w:w="851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N</w:t>
            </w:r>
            <w:r w:rsidR="00BE1AF0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°</w:t>
            </w: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 xml:space="preserve"> de reserva</w:t>
            </w:r>
          </w:p>
        </w:tc>
        <w:tc>
          <w:tcPr>
            <w:tcW w:w="1559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Documento reservado</w:t>
            </w:r>
          </w:p>
        </w:tc>
        <w:tc>
          <w:tcPr>
            <w:tcW w:w="1418" w:type="dxa"/>
            <w:gridSpan w:val="2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Tipo de Reserva</w:t>
            </w:r>
          </w:p>
        </w:tc>
        <w:tc>
          <w:tcPr>
            <w:tcW w:w="1417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Detalle de la Reserva</w:t>
            </w:r>
          </w:p>
        </w:tc>
        <w:tc>
          <w:tcPr>
            <w:tcW w:w="1225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Causal de reserva    parcial (art.19)</w:t>
            </w:r>
          </w:p>
        </w:tc>
        <w:tc>
          <w:tcPr>
            <w:tcW w:w="2126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Motivo de reserva</w:t>
            </w:r>
          </w:p>
        </w:tc>
        <w:tc>
          <w:tcPr>
            <w:tcW w:w="2694" w:type="dxa"/>
            <w:gridSpan w:val="3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Datos de clasificación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Parcial</w:t>
            </w:r>
          </w:p>
        </w:tc>
        <w:tc>
          <w:tcPr>
            <w:tcW w:w="1417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plazo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Fecha de vencimiento de la reserva</w:t>
            </w:r>
          </w:p>
        </w:tc>
      </w:tr>
      <w:tr w:rsidR="00334D1A" w:rsidRPr="00334D1A" w:rsidTr="00BE1AF0">
        <w:trPr>
          <w:trHeight w:val="2121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001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Contabilidad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Contador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001-17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18"/>
                <w:szCs w:val="18"/>
                <w:lang w:val="es-ES"/>
              </w:rPr>
              <w:t xml:space="preserve">Planilla de Sueldos o salarios y de cotizaciones 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Solo los datos personales como el nombre, números de identificación, cargo cuando esté relacionado al departamento</w:t>
            </w: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 parte de ser considerada como información confidencial se correría el riesgo de identificar el nombre de la persona fácilmente ya que somos una comunidad.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3Años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Junio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2020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002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Contabilidad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Contador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002-17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34D1A">
              <w:rPr>
                <w:rFonts w:ascii="Arial Narrow" w:eastAsia="Calibri" w:hAnsi="Arial Narrow" w:cs="Times New Roman"/>
                <w:sz w:val="18"/>
                <w:szCs w:val="18"/>
                <w:lang w:val="es-ES"/>
              </w:rPr>
              <w:t>Informes Elaborados por este departamento dirigidos a la dirección superior que contengan observaciones, recomendaciones y/o limitaciones de trabajo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Art. 19 LAIP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 Años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Junio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2019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003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Contabilidad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Contador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003-17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Correspondencia e informes remitidos de otros departamentos de los cuales el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responsable es un empleado ajeno a la unidad de Contabilidad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lastRenderedPageBreak/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e) La que contenga opiniones o recomendaciones que forman parte del proceso deliberativo de los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servidores públicos, en tanto no sea adoptada la decisión definitiva.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 xml:space="preserve">23 Junio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 Años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Junio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2019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004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004-17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Planillas de Salarios de empleados municipales, permanentes, eventuales y contratados por prestación de servicios profesionales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005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005-17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Planilla de dietas del Síndico y Concejo Municipal Plural, Información personal del Alcalde, Síndico y Concejo Mpal. Plural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006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006-17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Cuentas Bancarias de Ahorro, Cuentas Bancarias Corrientes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007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007-17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Estimaciones y montos de proyectos en ejecución y ejecutados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008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008-17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Libro de Bancos y Auxiliares, Libros de Especies Municipales, Manuales de Tesorería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009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009-17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sistema SAFIM, Información personal de empleados, DUI, NIT de los empleados municipales; DUI, NIT y Credenciales del Alcalde, Síndico Municipal y Concejo Municipal Plural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Junio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010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Auditoria Interna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Auditora Interna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010-17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Obtenida en procesos de auditoria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e) La que contenga opiniones o recomendaciones que forman parte del proceso deliberativo de los servidores públicos, en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tanto no sea adoptada la decisión definitiva.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011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Auditoria Interna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Auditora Interna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011-17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Informes dirigidos a la máxima autoridad  y hallazgos encontrados en los procesos de auditoria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012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Proyección Social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012-17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referente a becados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013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Proyección Social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013-17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Listados u otro tipo de documentos relacionados a las diferentes actividades sociales y deportivas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014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Proyección Social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014-17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Presupuesto Anual Feria Gastronómica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015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Servicios Generales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015-17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Control y Asignación de Vehículos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016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Servicios Generales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016-17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requerida arrendatarios de locales municipales dentro del mercado, que se maneja en conjunto con el área de servicios públicos.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017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Gerencia General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017-17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Expedientes de personal administrativo como operativo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  11 Meses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018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Gerencia General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018-17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Destino de Misiones oficiales de personal administrativo como operativo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019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Gerencia General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019-17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Marcaciones de asistencias del personal administrativo y operativo 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020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Gerencia General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020-17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Asignación de Vehículos y su destino con personal administrativo y operativos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</w:tc>
        <w:tc>
          <w:tcPr>
            <w:tcW w:w="850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 </w:t>
            </w:r>
          </w:p>
        </w:tc>
        <w:tc>
          <w:tcPr>
            <w:tcW w:w="1135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021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 xml:space="preserve">Gerencia General 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021-17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Informes que presentan las unidades administrativas a la Gerencia General, así como los informes que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se presenten al Alcalde y Concejo Municipal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lastRenderedPageBreak/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e) La que contenga opiniones o recomendaciones que forman parte del proceso deliberativo de los servidores públicos, en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tanto no sea adoptada la decisión definitiva</w:t>
            </w:r>
          </w:p>
        </w:tc>
        <w:tc>
          <w:tcPr>
            <w:tcW w:w="850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 </w:t>
            </w:r>
          </w:p>
        </w:tc>
        <w:tc>
          <w:tcPr>
            <w:tcW w:w="1135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022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UACI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022-17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referente a los proyectos de infraestructura vial y civil que la municipalidad ejecute ( carpetas técnicas, procesos de contratación, informes de supervisión y ejecución)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g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g) la que comprometiere las estrategias y funciones estatales en procedimientos judiciales o administrativos en curso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023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UACI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023-17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Perfiles técnicos, planilla de salarios del personal eventual, ordenes de compras, banco de proveedores banco de contratistas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g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g) la que comprometiere las estrategias y funciones estatales en procedimientos judiciales o administrativos en curso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024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Unidad Ejecutora de Proyectos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Encargados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024-17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referente a los proyectos de infraestructura vial y civil que la municipalidad ejecute ( carpetas técnicas, procesos de contratación, informes de supervisión y ejecución)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Perfiles técnicos, planilla de salarios del personal eventual, ordenes de compras, banco de proveedores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banco de contratistas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lastRenderedPageBreak/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g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g) la que comprometiere las estrategias y funciones estatales en procedimientos judiciales o administrativos en curso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025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Recuperación de Mora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Recuperador de Mora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025-17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Estado de cuenta de los contribuyentes en situación morosa, personas naturales o jurídicas.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Irrevocablemente reservados, cuando el solicitante no sea propietario, responsable o familiar hasta el segundo grado de consanguinidad del propietario, además deberá presentar original o copia de la escritura para que su solicitud proceda.</w:t>
            </w: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026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Administración de Contratos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Administrador de Contratos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026-17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Informes de seguimientos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Hojas de control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Expediente de respaldo.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027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Catastro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Encargado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027-17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Estados Financieros de diferentes empresas que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ejercen actividad económica en el municipio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Estados de cuenta de las empresas que ejercen actividad que ejercen activad económica en el municipio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Estados de cuentas de los usuarios registrados en esta comuna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de los establecimientos que están autorizados a distribuir bebidas alcohólicas.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Expedientes de los usuarios registrados en esta comuna.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Escrituras de los inmuebles de los usuarios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registrados en esta comuna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Autorizaciones de toda índole que </w:t>
            </w:r>
            <w:r w:rsidR="00CF0557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bookmarkStart w:id="0" w:name="_GoBack"/>
            <w:bookmarkEnd w:id="0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emita la unidad.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g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 xml:space="preserve">e) La que contenga opiniones o recomendaciones que forman parte del proceso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deliberativo de los servidores públicos, en tanto no sea adoptada la decisión definitiva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g) la que comprometiere las estrategias y funciones estatales en procedimientos judiciales o administrativos en curso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017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Default="009331C7" w:rsidP="00BE1AF0">
            <w:pPr>
              <w:spacing w:after="200" w:line="276" w:lineRule="auto"/>
              <w:ind w:right="97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  <w:p w:rsidR="009F6BD5" w:rsidRPr="00334D1A" w:rsidRDefault="009F6BD5" w:rsidP="00BE1AF0">
            <w:pPr>
              <w:spacing w:after="200" w:line="276" w:lineRule="auto"/>
              <w:ind w:right="97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</w:tr>
    </w:tbl>
    <w:p w:rsidR="00334D1A" w:rsidRPr="00334D1A" w:rsidRDefault="00334D1A" w:rsidP="00334D1A">
      <w:pPr>
        <w:spacing w:after="200" w:line="276" w:lineRule="auto"/>
        <w:jc w:val="center"/>
        <w:rPr>
          <w:rFonts w:ascii="Calibri" w:eastAsia="Calibri" w:hAnsi="Calibri" w:cs="Times New Roman"/>
          <w:lang w:val="es-ES"/>
        </w:rPr>
      </w:pPr>
    </w:p>
    <w:p w:rsidR="00334D1A" w:rsidRPr="00334D1A" w:rsidRDefault="00334D1A" w:rsidP="00334D1A">
      <w:pPr>
        <w:spacing w:after="200" w:line="276" w:lineRule="auto"/>
        <w:jc w:val="center"/>
        <w:rPr>
          <w:rFonts w:ascii="Calibri" w:eastAsia="Calibri" w:hAnsi="Calibri" w:cs="Times New Roman"/>
          <w:lang w:val="es-ES"/>
        </w:rPr>
      </w:pPr>
    </w:p>
    <w:p w:rsidR="005A0451" w:rsidRDefault="00334D1A">
      <w:r>
        <w:lastRenderedPageBreak/>
        <w:t xml:space="preserve">           </w:t>
      </w:r>
    </w:p>
    <w:sectPr w:rsidR="005A0451" w:rsidSect="007C0DAE">
      <w:headerReference w:type="default" r:id="rId6"/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4F" w:rsidRDefault="0002134F" w:rsidP="00334D1A">
      <w:pPr>
        <w:spacing w:after="0" w:line="240" w:lineRule="auto"/>
      </w:pPr>
      <w:r>
        <w:separator/>
      </w:r>
    </w:p>
  </w:endnote>
  <w:endnote w:type="continuationSeparator" w:id="0">
    <w:p w:rsidR="0002134F" w:rsidRDefault="0002134F" w:rsidP="0033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4F" w:rsidRDefault="0002134F" w:rsidP="00334D1A">
      <w:pPr>
        <w:spacing w:after="0" w:line="240" w:lineRule="auto"/>
      </w:pPr>
      <w:r>
        <w:separator/>
      </w:r>
    </w:p>
  </w:footnote>
  <w:footnote w:type="continuationSeparator" w:id="0">
    <w:p w:rsidR="0002134F" w:rsidRDefault="0002134F" w:rsidP="0033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599" w:rsidRDefault="00774886" w:rsidP="00E76599">
    <w:pPr>
      <w:spacing w:after="0" w:line="240" w:lineRule="auto"/>
      <w:jc w:val="center"/>
      <w:rPr>
        <w:rFonts w:ascii="Arial" w:hAnsi="Arial" w:cs="Arial"/>
        <w:b/>
        <w:color w:val="8496B0" w:themeColor="text2" w:themeTint="99"/>
        <w:sz w:val="28"/>
        <w:szCs w:val="2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CC149C7" wp14:editId="6E3804B2">
          <wp:simplePos x="0" y="0"/>
          <wp:positionH relativeFrom="column">
            <wp:posOffset>205740</wp:posOffset>
          </wp:positionH>
          <wp:positionV relativeFrom="paragraph">
            <wp:posOffset>-287655</wp:posOffset>
          </wp:positionV>
          <wp:extent cx="1219200" cy="1103630"/>
          <wp:effectExtent l="0" t="0" r="0" b="1270"/>
          <wp:wrapThrough wrapText="bothSides">
            <wp:wrapPolygon edited="0">
              <wp:start x="0" y="0"/>
              <wp:lineTo x="0" y="21252"/>
              <wp:lineTo x="21263" y="21252"/>
              <wp:lineTo x="21263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>INFORMACION RESERVADA</w:t>
    </w:r>
  </w:p>
  <w:p w:rsidR="00480473" w:rsidRDefault="00334D1A" w:rsidP="00E76599">
    <w:pPr>
      <w:pStyle w:val="Encabezado"/>
      <w:jc w:val="center"/>
    </w:pPr>
    <w:r>
      <w:rPr>
        <w:rFonts w:ascii="Arial" w:hAnsi="Arial" w:cs="Arial"/>
        <w:b/>
        <w:color w:val="8496B0" w:themeColor="text2" w:themeTint="99"/>
        <w:sz w:val="28"/>
        <w:szCs w:val="28"/>
      </w:rPr>
      <w:t xml:space="preserve">Junio </w:t>
    </w:r>
    <w:r w:rsidR="00774886">
      <w:rPr>
        <w:rFonts w:ascii="Arial" w:hAnsi="Arial" w:cs="Arial"/>
        <w:b/>
        <w:color w:val="8496B0" w:themeColor="text2" w:themeTint="99"/>
        <w:sz w:val="28"/>
        <w:szCs w:val="28"/>
      </w:rPr>
      <w:t>2017</w:t>
    </w:r>
    <w:r w:rsidR="00774886" w:rsidRPr="004F5713">
      <w:rPr>
        <w:rFonts w:ascii="Arial" w:hAnsi="Arial" w:cs="Arial"/>
        <w:b/>
        <w:color w:val="8496B0" w:themeColor="text2" w:themeTint="99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</w:t>
    </w:r>
    <w:r w:rsidR="00774886">
      <w:rPr>
        <w:rFonts w:ascii="Arial" w:hAnsi="Arial" w:cs="Arial"/>
        <w:b/>
        <w:color w:val="8496B0" w:themeColor="text2" w:themeTint="99"/>
        <w:sz w:val="28"/>
        <w:szCs w:val="28"/>
      </w:rPr>
      <w:t xml:space="preserve">ALCALDIA MUNICIPAL DE CHINAMECA, </w:t>
    </w:r>
    <w:r w:rsidR="00774886" w:rsidRPr="004F5713">
      <w:rPr>
        <w:rFonts w:ascii="Arial" w:hAnsi="Arial" w:cs="Arial"/>
        <w:b/>
        <w:color w:val="8496B0" w:themeColor="text2" w:themeTint="99"/>
        <w:sz w:val="28"/>
        <w:szCs w:val="28"/>
      </w:rPr>
      <w:t>S</w:t>
    </w:r>
    <w:r w:rsidR="00774886">
      <w:rPr>
        <w:rFonts w:ascii="Arial" w:hAnsi="Arial" w:cs="Arial"/>
        <w:b/>
        <w:color w:val="8496B0" w:themeColor="text2" w:themeTint="99"/>
        <w:sz w:val="28"/>
        <w:szCs w:val="28"/>
      </w:rPr>
      <w:t>AN MIGUEL</w:t>
    </w:r>
  </w:p>
  <w:p w:rsidR="00480473" w:rsidRDefault="0002134F" w:rsidP="00F23563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1A"/>
    <w:rsid w:val="0002134F"/>
    <w:rsid w:val="001756E7"/>
    <w:rsid w:val="00334D1A"/>
    <w:rsid w:val="005A0451"/>
    <w:rsid w:val="005C41DE"/>
    <w:rsid w:val="00774886"/>
    <w:rsid w:val="009331C7"/>
    <w:rsid w:val="009F6BD5"/>
    <w:rsid w:val="00BE1AF0"/>
    <w:rsid w:val="00CD4397"/>
    <w:rsid w:val="00CF0557"/>
    <w:rsid w:val="00CF6A30"/>
    <w:rsid w:val="00D20FCA"/>
    <w:rsid w:val="00ED6C65"/>
    <w:rsid w:val="00EE0CD9"/>
    <w:rsid w:val="00F2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D8B0F-DC03-4C79-B93A-3677C59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1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4D1A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334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34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1A"/>
  </w:style>
  <w:style w:type="paragraph" w:styleId="Textodeglobo">
    <w:name w:val="Balloon Text"/>
    <w:basedOn w:val="Normal"/>
    <w:link w:val="TextodegloboCar"/>
    <w:uiPriority w:val="99"/>
    <w:semiHidden/>
    <w:unhideWhenUsed/>
    <w:rsid w:val="00BE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1642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2017-06-29T14:06:00Z</cp:lastPrinted>
  <dcterms:created xsi:type="dcterms:W3CDTF">2017-06-21T13:55:00Z</dcterms:created>
  <dcterms:modified xsi:type="dcterms:W3CDTF">2017-06-29T21:57:00Z</dcterms:modified>
</cp:coreProperties>
</file>