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6" w:type="dxa"/>
        <w:tblInd w:w="70" w:type="dxa"/>
        <w:tblCellMar>
          <w:left w:w="70" w:type="dxa"/>
          <w:right w:w="70" w:type="dxa"/>
        </w:tblCellMar>
        <w:tblLook w:val="04A0" w:firstRow="1" w:lastRow="0" w:firstColumn="1" w:lastColumn="0" w:noHBand="0" w:noVBand="1"/>
      </w:tblPr>
      <w:tblGrid>
        <w:gridCol w:w="582"/>
        <w:gridCol w:w="1541"/>
        <w:gridCol w:w="2773"/>
        <w:gridCol w:w="2074"/>
        <w:gridCol w:w="1425"/>
        <w:gridCol w:w="1491"/>
      </w:tblGrid>
      <w:tr w:rsidR="004203A0" w:rsidRPr="00067031" w14:paraId="31E7D274" w14:textId="77777777" w:rsidTr="004203A0">
        <w:trPr>
          <w:trHeight w:val="395"/>
        </w:trPr>
        <w:tc>
          <w:tcPr>
            <w:tcW w:w="9886" w:type="dxa"/>
            <w:gridSpan w:val="6"/>
            <w:tcBorders>
              <w:top w:val="nil"/>
              <w:left w:val="nil"/>
              <w:bottom w:val="single" w:sz="8" w:space="0" w:color="auto"/>
              <w:right w:val="nil"/>
            </w:tcBorders>
            <w:shd w:val="clear" w:color="auto" w:fill="auto"/>
            <w:noWrap/>
            <w:vAlign w:val="bottom"/>
            <w:hideMark/>
          </w:tcPr>
          <w:p w14:paraId="44B3699F" w14:textId="77777777" w:rsidR="004203A0" w:rsidRPr="00067031" w:rsidRDefault="004203A0" w:rsidP="0037090A">
            <w:pPr>
              <w:jc w:val="center"/>
              <w:rPr>
                <w:rFonts w:ascii="Calibri" w:eastAsia="Times New Roman" w:hAnsi="Calibri" w:cs="Calibri"/>
                <w:b/>
                <w:bCs/>
                <w:color w:val="000000"/>
                <w:sz w:val="28"/>
                <w:szCs w:val="28"/>
                <w:lang w:val="es-SV" w:eastAsia="es-SV"/>
              </w:rPr>
            </w:pPr>
            <w:r w:rsidRPr="00067031">
              <w:rPr>
                <w:rFonts w:ascii="Calibri" w:eastAsia="Times New Roman" w:hAnsi="Calibri" w:cs="Calibri"/>
                <w:b/>
                <w:bCs/>
                <w:color w:val="000000"/>
                <w:sz w:val="28"/>
                <w:szCs w:val="28"/>
                <w:lang w:val="es-SV" w:eastAsia="es-SV"/>
              </w:rPr>
              <w:t>SUBSIDIOS E INCENTIVOS FISCALES, OCTUBRE A DICIEMBRE 2023</w:t>
            </w:r>
          </w:p>
        </w:tc>
      </w:tr>
      <w:tr w:rsidR="004203A0" w:rsidRPr="00067031" w14:paraId="636B40AC" w14:textId="77777777" w:rsidTr="004203A0">
        <w:trPr>
          <w:trHeight w:val="911"/>
        </w:trPr>
        <w:tc>
          <w:tcPr>
            <w:tcW w:w="533" w:type="dxa"/>
            <w:tcBorders>
              <w:top w:val="nil"/>
              <w:left w:val="single" w:sz="8" w:space="0" w:color="auto"/>
              <w:bottom w:val="nil"/>
              <w:right w:val="single" w:sz="4" w:space="0" w:color="auto"/>
            </w:tcBorders>
            <w:shd w:val="clear" w:color="000000" w:fill="A5A5A5"/>
            <w:vAlign w:val="bottom"/>
            <w:hideMark/>
          </w:tcPr>
          <w:p w14:paraId="25816FE1" w14:textId="77777777" w:rsidR="004203A0" w:rsidRPr="00067031" w:rsidRDefault="004203A0" w:rsidP="0037090A">
            <w:pPr>
              <w:jc w:val="center"/>
              <w:rPr>
                <w:rFonts w:ascii="Calibri" w:eastAsia="Times New Roman" w:hAnsi="Calibri" w:cs="Calibri"/>
                <w:b/>
                <w:bCs/>
                <w:color w:val="000000"/>
                <w:sz w:val="22"/>
                <w:szCs w:val="22"/>
                <w:lang w:val="es-SV" w:eastAsia="es-SV"/>
              </w:rPr>
            </w:pPr>
            <w:proofErr w:type="spellStart"/>
            <w:r w:rsidRPr="00067031">
              <w:rPr>
                <w:rFonts w:ascii="Calibri" w:eastAsia="Times New Roman" w:hAnsi="Calibri" w:cs="Calibri"/>
                <w:b/>
                <w:bCs/>
                <w:color w:val="000000"/>
                <w:sz w:val="22"/>
                <w:szCs w:val="22"/>
                <w:lang w:val="es-SV" w:eastAsia="es-SV"/>
              </w:rPr>
              <w:t>Num</w:t>
            </w:r>
            <w:proofErr w:type="spellEnd"/>
          </w:p>
        </w:tc>
        <w:tc>
          <w:tcPr>
            <w:tcW w:w="1541" w:type="dxa"/>
            <w:tcBorders>
              <w:top w:val="nil"/>
              <w:left w:val="nil"/>
              <w:bottom w:val="nil"/>
              <w:right w:val="single" w:sz="4" w:space="0" w:color="auto"/>
            </w:tcBorders>
            <w:shd w:val="clear" w:color="000000" w:fill="A5A5A5"/>
            <w:vAlign w:val="bottom"/>
            <w:hideMark/>
          </w:tcPr>
          <w:p w14:paraId="71ADC601" w14:textId="77777777" w:rsidR="004203A0" w:rsidRPr="00067031" w:rsidRDefault="004203A0" w:rsidP="0037090A">
            <w:pPr>
              <w:jc w:val="center"/>
              <w:rPr>
                <w:rFonts w:ascii="Calibri" w:eastAsia="Times New Roman" w:hAnsi="Calibri" w:cs="Calibri"/>
                <w:b/>
                <w:bCs/>
                <w:color w:val="000000"/>
                <w:sz w:val="22"/>
                <w:szCs w:val="22"/>
                <w:lang w:val="es-SV" w:eastAsia="es-SV"/>
              </w:rPr>
            </w:pPr>
            <w:r w:rsidRPr="00067031">
              <w:rPr>
                <w:rFonts w:ascii="Calibri" w:eastAsia="Times New Roman" w:hAnsi="Calibri" w:cs="Calibri"/>
                <w:b/>
                <w:bCs/>
                <w:color w:val="000000"/>
                <w:sz w:val="22"/>
                <w:szCs w:val="22"/>
                <w:lang w:val="es-SV" w:eastAsia="es-SV"/>
              </w:rPr>
              <w:t>Incentivo Fiscal</w:t>
            </w:r>
          </w:p>
        </w:tc>
        <w:tc>
          <w:tcPr>
            <w:tcW w:w="2852" w:type="dxa"/>
            <w:tcBorders>
              <w:top w:val="nil"/>
              <w:left w:val="nil"/>
              <w:bottom w:val="nil"/>
              <w:right w:val="single" w:sz="4" w:space="0" w:color="auto"/>
            </w:tcBorders>
            <w:shd w:val="clear" w:color="000000" w:fill="A5A5A5"/>
            <w:vAlign w:val="bottom"/>
            <w:hideMark/>
          </w:tcPr>
          <w:p w14:paraId="32920834" w14:textId="77777777" w:rsidR="004203A0" w:rsidRPr="00067031" w:rsidRDefault="004203A0" w:rsidP="0037090A">
            <w:pPr>
              <w:jc w:val="center"/>
              <w:rPr>
                <w:rFonts w:ascii="Calibri" w:eastAsia="Times New Roman" w:hAnsi="Calibri" w:cs="Calibri"/>
                <w:b/>
                <w:bCs/>
                <w:color w:val="000000"/>
                <w:sz w:val="22"/>
                <w:szCs w:val="22"/>
                <w:lang w:val="es-SV" w:eastAsia="es-SV"/>
              </w:rPr>
            </w:pPr>
            <w:r w:rsidRPr="00067031">
              <w:rPr>
                <w:rFonts w:ascii="Calibri" w:eastAsia="Times New Roman" w:hAnsi="Calibri" w:cs="Calibri"/>
                <w:b/>
                <w:bCs/>
                <w:color w:val="000000"/>
                <w:sz w:val="22"/>
                <w:szCs w:val="22"/>
                <w:lang w:val="es-SV" w:eastAsia="es-SV"/>
              </w:rPr>
              <w:t>Diseño</w:t>
            </w:r>
          </w:p>
        </w:tc>
        <w:tc>
          <w:tcPr>
            <w:tcW w:w="2074" w:type="dxa"/>
            <w:tcBorders>
              <w:top w:val="nil"/>
              <w:left w:val="nil"/>
              <w:bottom w:val="nil"/>
              <w:right w:val="single" w:sz="4" w:space="0" w:color="auto"/>
            </w:tcBorders>
            <w:shd w:val="clear" w:color="000000" w:fill="A5A5A5"/>
            <w:vAlign w:val="bottom"/>
            <w:hideMark/>
          </w:tcPr>
          <w:p w14:paraId="275185D7" w14:textId="77777777" w:rsidR="004203A0" w:rsidRPr="00067031" w:rsidRDefault="004203A0" w:rsidP="0037090A">
            <w:pPr>
              <w:jc w:val="center"/>
              <w:rPr>
                <w:rFonts w:ascii="Calibri" w:eastAsia="Times New Roman" w:hAnsi="Calibri" w:cs="Calibri"/>
                <w:b/>
                <w:bCs/>
                <w:color w:val="000000"/>
                <w:sz w:val="22"/>
                <w:szCs w:val="22"/>
                <w:lang w:val="es-SV" w:eastAsia="es-SV"/>
              </w:rPr>
            </w:pPr>
            <w:r w:rsidRPr="00067031">
              <w:rPr>
                <w:rFonts w:ascii="Calibri" w:eastAsia="Times New Roman" w:hAnsi="Calibri" w:cs="Calibri"/>
                <w:b/>
                <w:bCs/>
                <w:color w:val="000000"/>
                <w:sz w:val="22"/>
                <w:szCs w:val="22"/>
                <w:lang w:val="es-SV" w:eastAsia="es-SV"/>
              </w:rPr>
              <w:t>Monto estimado en compensación</w:t>
            </w:r>
          </w:p>
        </w:tc>
        <w:tc>
          <w:tcPr>
            <w:tcW w:w="1425" w:type="dxa"/>
            <w:tcBorders>
              <w:top w:val="nil"/>
              <w:left w:val="nil"/>
              <w:bottom w:val="nil"/>
              <w:right w:val="single" w:sz="4" w:space="0" w:color="auto"/>
            </w:tcBorders>
            <w:shd w:val="clear" w:color="000000" w:fill="A5A5A5"/>
            <w:vAlign w:val="bottom"/>
            <w:hideMark/>
          </w:tcPr>
          <w:p w14:paraId="7D883F80" w14:textId="77777777" w:rsidR="004203A0" w:rsidRPr="00067031" w:rsidRDefault="004203A0" w:rsidP="0037090A">
            <w:pPr>
              <w:jc w:val="center"/>
              <w:rPr>
                <w:rFonts w:ascii="Calibri" w:eastAsia="Times New Roman" w:hAnsi="Calibri" w:cs="Calibri"/>
                <w:b/>
                <w:bCs/>
                <w:color w:val="000000"/>
                <w:sz w:val="22"/>
                <w:szCs w:val="22"/>
                <w:lang w:val="es-SV" w:eastAsia="es-SV"/>
              </w:rPr>
            </w:pPr>
            <w:r w:rsidRPr="00067031">
              <w:rPr>
                <w:rFonts w:ascii="Calibri" w:eastAsia="Times New Roman" w:hAnsi="Calibri" w:cs="Calibri"/>
                <w:b/>
                <w:bCs/>
                <w:color w:val="000000"/>
                <w:sz w:val="22"/>
                <w:szCs w:val="22"/>
                <w:lang w:val="es-SV" w:eastAsia="es-SV"/>
              </w:rPr>
              <w:t>Criterios de acceso</w:t>
            </w:r>
          </w:p>
        </w:tc>
        <w:tc>
          <w:tcPr>
            <w:tcW w:w="1459" w:type="dxa"/>
            <w:tcBorders>
              <w:top w:val="nil"/>
              <w:left w:val="nil"/>
              <w:bottom w:val="nil"/>
              <w:right w:val="single" w:sz="8" w:space="0" w:color="auto"/>
            </w:tcBorders>
            <w:shd w:val="clear" w:color="000000" w:fill="A5A5A5"/>
            <w:vAlign w:val="bottom"/>
            <w:hideMark/>
          </w:tcPr>
          <w:p w14:paraId="6EF90CC1" w14:textId="77777777" w:rsidR="004203A0" w:rsidRPr="00067031" w:rsidRDefault="004203A0" w:rsidP="0037090A">
            <w:pPr>
              <w:jc w:val="center"/>
              <w:rPr>
                <w:rFonts w:ascii="Calibri" w:eastAsia="Times New Roman" w:hAnsi="Calibri" w:cs="Calibri"/>
                <w:b/>
                <w:bCs/>
                <w:color w:val="000000"/>
                <w:sz w:val="22"/>
                <w:szCs w:val="22"/>
                <w:lang w:val="es-SV" w:eastAsia="es-SV"/>
              </w:rPr>
            </w:pPr>
            <w:r w:rsidRPr="00067031">
              <w:rPr>
                <w:rFonts w:ascii="Calibri" w:eastAsia="Times New Roman" w:hAnsi="Calibri" w:cs="Calibri"/>
                <w:b/>
                <w:bCs/>
                <w:color w:val="000000"/>
                <w:sz w:val="22"/>
                <w:szCs w:val="22"/>
                <w:lang w:val="es-SV" w:eastAsia="es-SV"/>
              </w:rPr>
              <w:t>Cantidad estimada de beneficiarios</w:t>
            </w:r>
          </w:p>
        </w:tc>
      </w:tr>
      <w:tr w:rsidR="004203A0" w:rsidRPr="00067031" w14:paraId="5163F50C" w14:textId="77777777" w:rsidTr="004203A0">
        <w:trPr>
          <w:trHeight w:val="3043"/>
        </w:trPr>
        <w:tc>
          <w:tcPr>
            <w:tcW w:w="53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9CEA5E" w14:textId="77777777" w:rsidR="004203A0" w:rsidRPr="00067031" w:rsidRDefault="004203A0" w:rsidP="0037090A">
            <w:pPr>
              <w:jc w:val="right"/>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1</w:t>
            </w:r>
          </w:p>
        </w:tc>
        <w:tc>
          <w:tcPr>
            <w:tcW w:w="1541" w:type="dxa"/>
            <w:tcBorders>
              <w:top w:val="single" w:sz="4" w:space="0" w:color="auto"/>
              <w:left w:val="nil"/>
              <w:bottom w:val="single" w:sz="4" w:space="0" w:color="auto"/>
              <w:right w:val="single" w:sz="4" w:space="0" w:color="auto"/>
            </w:tcBorders>
            <w:shd w:val="clear" w:color="auto" w:fill="auto"/>
            <w:vAlign w:val="bottom"/>
            <w:hideMark/>
          </w:tcPr>
          <w:p w14:paraId="32D7D07F"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Dispensa de intereses y multas por tasas</w:t>
            </w:r>
          </w:p>
        </w:tc>
        <w:tc>
          <w:tcPr>
            <w:tcW w:w="2852" w:type="dxa"/>
            <w:tcBorders>
              <w:top w:val="single" w:sz="4" w:space="0" w:color="auto"/>
              <w:left w:val="nil"/>
              <w:bottom w:val="single" w:sz="4" w:space="0" w:color="auto"/>
              <w:right w:val="single" w:sz="4" w:space="0" w:color="auto"/>
            </w:tcBorders>
            <w:shd w:val="clear" w:color="auto" w:fill="auto"/>
            <w:vAlign w:val="bottom"/>
            <w:hideMark/>
          </w:tcPr>
          <w:p w14:paraId="1C666265"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Dispensa de intereses y multas, según Ordenanza Transitoria de Amnistía Tributaria para la exoneración de los intereses y multas producto de las tasas y contribuciones especiales municipales de Chalatenango, según Acta Número NUEVE, de veintinueve de septiembre del año dos mil veintitrés. Publicado en el Diario Oficial, NUMERO 200, TOMO 441 de fecha 26 de octubre de 2023.</w:t>
            </w:r>
          </w:p>
        </w:tc>
        <w:tc>
          <w:tcPr>
            <w:tcW w:w="2074" w:type="dxa"/>
            <w:tcBorders>
              <w:top w:val="single" w:sz="4" w:space="0" w:color="auto"/>
              <w:left w:val="nil"/>
              <w:bottom w:val="single" w:sz="4" w:space="0" w:color="auto"/>
              <w:right w:val="single" w:sz="4" w:space="0" w:color="auto"/>
            </w:tcBorders>
            <w:shd w:val="clear" w:color="auto" w:fill="auto"/>
            <w:vAlign w:val="bottom"/>
            <w:hideMark/>
          </w:tcPr>
          <w:p w14:paraId="1ED97065"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 xml:space="preserve"> $                 3,747.90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16B992E8"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Cancelar deudas pendientes o suscripción de planes de pago</w:t>
            </w:r>
          </w:p>
        </w:tc>
        <w:tc>
          <w:tcPr>
            <w:tcW w:w="1459" w:type="dxa"/>
            <w:tcBorders>
              <w:top w:val="single" w:sz="4" w:space="0" w:color="auto"/>
              <w:left w:val="nil"/>
              <w:bottom w:val="single" w:sz="4" w:space="0" w:color="auto"/>
              <w:right w:val="single" w:sz="8" w:space="0" w:color="auto"/>
            </w:tcBorders>
            <w:shd w:val="clear" w:color="auto" w:fill="auto"/>
            <w:vAlign w:val="bottom"/>
            <w:hideMark/>
          </w:tcPr>
          <w:p w14:paraId="68459B4E"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150 contribuyentes</w:t>
            </w:r>
          </w:p>
        </w:tc>
      </w:tr>
      <w:tr w:rsidR="004203A0" w:rsidRPr="00067031" w14:paraId="29F156BE" w14:textId="77777777" w:rsidTr="004203A0">
        <w:trPr>
          <w:trHeight w:val="2768"/>
        </w:trPr>
        <w:tc>
          <w:tcPr>
            <w:tcW w:w="533" w:type="dxa"/>
            <w:tcBorders>
              <w:top w:val="nil"/>
              <w:left w:val="single" w:sz="8" w:space="0" w:color="auto"/>
              <w:bottom w:val="single" w:sz="8" w:space="0" w:color="auto"/>
              <w:right w:val="single" w:sz="4" w:space="0" w:color="auto"/>
            </w:tcBorders>
            <w:shd w:val="clear" w:color="auto" w:fill="auto"/>
            <w:noWrap/>
            <w:vAlign w:val="bottom"/>
            <w:hideMark/>
          </w:tcPr>
          <w:p w14:paraId="02BCB4EA" w14:textId="77777777" w:rsidR="004203A0" w:rsidRPr="00067031" w:rsidRDefault="004203A0" w:rsidP="0037090A">
            <w:pPr>
              <w:jc w:val="right"/>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2</w:t>
            </w:r>
          </w:p>
        </w:tc>
        <w:tc>
          <w:tcPr>
            <w:tcW w:w="1541" w:type="dxa"/>
            <w:tcBorders>
              <w:top w:val="nil"/>
              <w:left w:val="nil"/>
              <w:bottom w:val="single" w:sz="8" w:space="0" w:color="auto"/>
              <w:right w:val="single" w:sz="4" w:space="0" w:color="auto"/>
            </w:tcBorders>
            <w:shd w:val="clear" w:color="auto" w:fill="auto"/>
            <w:vAlign w:val="bottom"/>
            <w:hideMark/>
          </w:tcPr>
          <w:p w14:paraId="1C752989"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Dispensa de intereses y multas por impuestos municipales</w:t>
            </w:r>
          </w:p>
        </w:tc>
        <w:tc>
          <w:tcPr>
            <w:tcW w:w="2852" w:type="dxa"/>
            <w:tcBorders>
              <w:top w:val="nil"/>
              <w:left w:val="nil"/>
              <w:bottom w:val="single" w:sz="8" w:space="0" w:color="auto"/>
              <w:right w:val="single" w:sz="4" w:space="0" w:color="auto"/>
            </w:tcBorders>
            <w:shd w:val="clear" w:color="auto" w:fill="auto"/>
            <w:vAlign w:val="bottom"/>
            <w:hideMark/>
          </w:tcPr>
          <w:p w14:paraId="55C72CE9"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Dispensa de intereses y multas, según Ordenanza Transitoria de Amnistía Tributaria para la exoneración de los intereses y multas producto de los impuestos y contribuciones especiales municipales de Chalatenango, según Acta Número NUEVE, de veintinueve de septiembre del año dos mil veintitrés. Publicado en el Diario Oficial, NUMERO 200, TOMO 441 de fecha 26 de octubre de 2023.</w:t>
            </w:r>
          </w:p>
        </w:tc>
        <w:tc>
          <w:tcPr>
            <w:tcW w:w="2074" w:type="dxa"/>
            <w:tcBorders>
              <w:top w:val="nil"/>
              <w:left w:val="nil"/>
              <w:bottom w:val="single" w:sz="8" w:space="0" w:color="auto"/>
              <w:right w:val="single" w:sz="4" w:space="0" w:color="auto"/>
            </w:tcBorders>
            <w:shd w:val="clear" w:color="auto" w:fill="auto"/>
            <w:vAlign w:val="bottom"/>
            <w:hideMark/>
          </w:tcPr>
          <w:p w14:paraId="5512C3B4"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 xml:space="preserve"> $              11,243.75 </w:t>
            </w:r>
          </w:p>
        </w:tc>
        <w:tc>
          <w:tcPr>
            <w:tcW w:w="1425" w:type="dxa"/>
            <w:tcBorders>
              <w:top w:val="nil"/>
              <w:left w:val="nil"/>
              <w:bottom w:val="single" w:sz="8" w:space="0" w:color="auto"/>
              <w:right w:val="single" w:sz="4" w:space="0" w:color="auto"/>
            </w:tcBorders>
            <w:shd w:val="clear" w:color="auto" w:fill="auto"/>
            <w:vAlign w:val="bottom"/>
            <w:hideMark/>
          </w:tcPr>
          <w:p w14:paraId="4BEAC128"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Cancelar deudas pendientes o suscripción de planes de pago</w:t>
            </w:r>
          </w:p>
        </w:tc>
        <w:tc>
          <w:tcPr>
            <w:tcW w:w="1459" w:type="dxa"/>
            <w:tcBorders>
              <w:top w:val="nil"/>
              <w:left w:val="nil"/>
              <w:bottom w:val="single" w:sz="8" w:space="0" w:color="auto"/>
              <w:right w:val="single" w:sz="8" w:space="0" w:color="auto"/>
            </w:tcBorders>
            <w:shd w:val="clear" w:color="auto" w:fill="auto"/>
            <w:vAlign w:val="bottom"/>
            <w:hideMark/>
          </w:tcPr>
          <w:p w14:paraId="08010389" w14:textId="77777777" w:rsidR="004203A0" w:rsidRPr="00067031" w:rsidRDefault="004203A0" w:rsidP="0037090A">
            <w:pPr>
              <w:rPr>
                <w:rFonts w:ascii="Calibri" w:eastAsia="Times New Roman" w:hAnsi="Calibri" w:cs="Calibri"/>
                <w:color w:val="000000"/>
                <w:sz w:val="22"/>
                <w:szCs w:val="22"/>
                <w:lang w:val="es-SV" w:eastAsia="es-SV"/>
              </w:rPr>
            </w:pPr>
            <w:r w:rsidRPr="00067031">
              <w:rPr>
                <w:rFonts w:ascii="Calibri" w:eastAsia="Times New Roman" w:hAnsi="Calibri" w:cs="Calibri"/>
                <w:color w:val="000000"/>
                <w:sz w:val="22"/>
                <w:szCs w:val="22"/>
                <w:lang w:val="es-SV" w:eastAsia="es-SV"/>
              </w:rPr>
              <w:t>100 contribuyentes</w:t>
            </w:r>
          </w:p>
        </w:tc>
      </w:tr>
    </w:tbl>
    <w:p w14:paraId="2A9984CD" w14:textId="77777777" w:rsidR="004203A0" w:rsidRDefault="004203A0" w:rsidP="004203A0">
      <w:pPr>
        <w:tabs>
          <w:tab w:val="left" w:pos="4560"/>
        </w:tabs>
        <w:spacing w:line="360" w:lineRule="auto"/>
        <w:jc w:val="center"/>
        <w:rPr>
          <w:rFonts w:cstheme="minorHAnsi"/>
          <w:sz w:val="22"/>
          <w:szCs w:val="22"/>
        </w:rPr>
      </w:pPr>
    </w:p>
    <w:p w14:paraId="5E8874C7" w14:textId="77777777" w:rsidR="004203A0" w:rsidRDefault="004203A0" w:rsidP="004203A0">
      <w:pPr>
        <w:tabs>
          <w:tab w:val="left" w:pos="4560"/>
        </w:tabs>
        <w:spacing w:line="360" w:lineRule="auto"/>
        <w:jc w:val="center"/>
        <w:rPr>
          <w:rFonts w:cstheme="minorHAnsi"/>
          <w:sz w:val="22"/>
          <w:szCs w:val="22"/>
        </w:rPr>
      </w:pPr>
    </w:p>
    <w:p w14:paraId="33F4DAFF" w14:textId="77777777" w:rsidR="004203A0" w:rsidRDefault="004203A0" w:rsidP="004203A0">
      <w:pPr>
        <w:tabs>
          <w:tab w:val="left" w:pos="4560"/>
        </w:tabs>
        <w:spacing w:line="360" w:lineRule="auto"/>
        <w:jc w:val="center"/>
        <w:rPr>
          <w:rFonts w:cstheme="minorHAnsi"/>
          <w:sz w:val="22"/>
          <w:szCs w:val="22"/>
        </w:rPr>
      </w:pPr>
    </w:p>
    <w:p w14:paraId="53824745" w14:textId="77777777" w:rsidR="004203A0" w:rsidRDefault="004203A0" w:rsidP="004203A0">
      <w:pPr>
        <w:tabs>
          <w:tab w:val="left" w:pos="4560"/>
        </w:tabs>
        <w:spacing w:line="360" w:lineRule="auto"/>
        <w:jc w:val="center"/>
        <w:rPr>
          <w:rFonts w:cstheme="minorHAnsi"/>
          <w:sz w:val="22"/>
          <w:szCs w:val="22"/>
        </w:rPr>
      </w:pPr>
    </w:p>
    <w:p w14:paraId="47F50BB7" w14:textId="77777777" w:rsidR="004203A0" w:rsidRDefault="004203A0" w:rsidP="004203A0">
      <w:pPr>
        <w:tabs>
          <w:tab w:val="left" w:pos="4560"/>
        </w:tabs>
        <w:spacing w:line="360" w:lineRule="auto"/>
        <w:jc w:val="center"/>
        <w:rPr>
          <w:rFonts w:cstheme="minorHAnsi"/>
          <w:sz w:val="22"/>
          <w:szCs w:val="22"/>
        </w:rPr>
      </w:pPr>
    </w:p>
    <w:p w14:paraId="02CC4F6C" w14:textId="77777777" w:rsidR="00AB569A" w:rsidRDefault="00AB569A"/>
    <w:sectPr w:rsidR="00AB56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A0"/>
    <w:rsid w:val="004203A0"/>
    <w:rsid w:val="00AB56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36AB"/>
  <w15:chartTrackingRefBased/>
  <w15:docId w15:val="{45BEC790-9AB9-423D-A26A-E578AEA4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A0"/>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Zulma Linares</dc:creator>
  <cp:keywords/>
  <dc:description/>
  <cp:lastModifiedBy>Zulma Linares</cp:lastModifiedBy>
  <cp:revision>1</cp:revision>
  <dcterms:created xsi:type="dcterms:W3CDTF">2024-02-07T19:51:00Z</dcterms:created>
  <dcterms:modified xsi:type="dcterms:W3CDTF">2024-02-07T19:53:00Z</dcterms:modified>
</cp:coreProperties>
</file>