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C1C0" w14:textId="77777777" w:rsidR="00A83EA3" w:rsidRDefault="00A83EA3">
      <w:pPr>
        <w:jc w:val="center"/>
        <w:rPr>
          <w:rFonts w:ascii="Montserrat" w:hAnsi="Montserrat"/>
          <w:b/>
          <w:sz w:val="24"/>
        </w:rPr>
      </w:pPr>
    </w:p>
    <w:p w14:paraId="7A981736" w14:textId="77777777" w:rsidR="009A1B1D" w:rsidRDefault="00514268" w:rsidP="009A1B1D">
      <w:pPr>
        <w:tabs>
          <w:tab w:val="left" w:pos="1960"/>
          <w:tab w:val="left" w:pos="2470"/>
          <w:tab w:val="center" w:pos="5103"/>
        </w:tabs>
        <w:rPr>
          <w:rFonts w:ascii="Montserrat" w:hAnsi="Montserrat"/>
          <w:b/>
          <w:sz w:val="24"/>
        </w:rPr>
      </w:pPr>
      <w:r>
        <w:rPr>
          <w:rFonts w:ascii="Montserrat" w:hAnsi="Montserrat"/>
          <w:b/>
          <w:sz w:val="24"/>
        </w:rPr>
        <w:tab/>
      </w:r>
      <w:r>
        <w:rPr>
          <w:rFonts w:ascii="Montserrat" w:hAnsi="Montserrat"/>
          <w:b/>
          <w:sz w:val="24"/>
        </w:rPr>
        <w:tab/>
        <w:t xml:space="preserve">            </w:t>
      </w:r>
    </w:p>
    <w:p w14:paraId="45EF9C1C" w14:textId="77777777" w:rsidR="009A1B1D" w:rsidRDefault="009A1B1D" w:rsidP="009A1B1D">
      <w:pPr>
        <w:tabs>
          <w:tab w:val="left" w:pos="1960"/>
          <w:tab w:val="left" w:pos="2470"/>
          <w:tab w:val="center" w:pos="5103"/>
        </w:tabs>
        <w:rPr>
          <w:rFonts w:ascii="Montserrat" w:hAnsi="Montserrat"/>
          <w:b/>
          <w:sz w:val="24"/>
        </w:rPr>
      </w:pPr>
    </w:p>
    <w:p w14:paraId="29ECCCEE" w14:textId="77777777" w:rsidR="009A1B1D" w:rsidRDefault="009A1B1D" w:rsidP="009A1B1D">
      <w:pPr>
        <w:tabs>
          <w:tab w:val="left" w:pos="1960"/>
          <w:tab w:val="left" w:pos="2470"/>
          <w:tab w:val="center" w:pos="5103"/>
        </w:tabs>
        <w:rPr>
          <w:rFonts w:ascii="Montserrat" w:hAnsi="Montserrat"/>
          <w:b/>
          <w:sz w:val="24"/>
        </w:rPr>
      </w:pPr>
    </w:p>
    <w:p w14:paraId="1D7D0251" w14:textId="77777777" w:rsidR="009A1B1D" w:rsidRDefault="009A1B1D" w:rsidP="009A1B1D">
      <w:pPr>
        <w:tabs>
          <w:tab w:val="left" w:pos="1960"/>
          <w:tab w:val="left" w:pos="2470"/>
          <w:tab w:val="center" w:pos="5103"/>
        </w:tabs>
        <w:rPr>
          <w:rFonts w:ascii="Montserrat" w:hAnsi="Montserrat"/>
          <w:b/>
          <w:sz w:val="24"/>
        </w:rPr>
      </w:pPr>
    </w:p>
    <w:p w14:paraId="68222C63" w14:textId="7C7E89E5" w:rsidR="005C6190" w:rsidRDefault="00514268" w:rsidP="009A1B1D">
      <w:pPr>
        <w:tabs>
          <w:tab w:val="left" w:pos="1960"/>
          <w:tab w:val="left" w:pos="2470"/>
          <w:tab w:val="center" w:pos="5103"/>
        </w:tabs>
        <w:rPr>
          <w:rFonts w:ascii="Segoe UI Symbol" w:hAnsi="Segoe UI Symbol"/>
          <w:sz w:val="23"/>
          <w:szCs w:val="23"/>
        </w:rPr>
      </w:pPr>
      <w:r>
        <w:rPr>
          <w:rFonts w:ascii="Montserrat" w:hAnsi="Montserrat"/>
          <w:b/>
          <w:sz w:val="24"/>
        </w:rPr>
        <w:t xml:space="preserve">   </w:t>
      </w:r>
    </w:p>
    <w:p w14:paraId="2AA43E3D" w14:textId="77777777" w:rsidR="009A1B1D" w:rsidRPr="009A1B1D" w:rsidRDefault="009A1B1D" w:rsidP="009A1B1D">
      <w:pPr>
        <w:jc w:val="center"/>
        <w:rPr>
          <w:b/>
          <w:bCs/>
          <w:color w:val="5B9BD5" w:themeColor="accent1"/>
          <w:sz w:val="28"/>
          <w:szCs w:val="28"/>
          <w:lang w:val="es-MX"/>
        </w:rPr>
      </w:pPr>
      <w:r w:rsidRPr="009A1B1D">
        <w:rPr>
          <w:rFonts w:ascii="Montserrat" w:eastAsiaTheme="minorEastAsia" w:hAnsi="Montserrat"/>
          <w:b/>
          <w:bCs/>
          <w:color w:val="092256"/>
          <w:sz w:val="96"/>
          <w:szCs w:val="96"/>
          <w:lang w:eastAsia="es-MX"/>
        </w:rPr>
        <w:t>MEMORIA DE LABORES DE LA GERENCIA FINANCIERA 2024</w:t>
      </w:r>
    </w:p>
    <w:p w14:paraId="79F46B0B" w14:textId="77777777" w:rsidR="009A1B1D" w:rsidRDefault="009A1B1D" w:rsidP="009A1B1D">
      <w:pPr>
        <w:rPr>
          <w:b/>
          <w:color w:val="5B9BD5" w:themeColor="accent1"/>
          <w:sz w:val="28"/>
          <w:szCs w:val="28"/>
          <w:lang w:val="es-MX"/>
        </w:rPr>
      </w:pPr>
    </w:p>
    <w:p w14:paraId="30BB90BD" w14:textId="77777777" w:rsidR="009A1B1D" w:rsidRDefault="009A1B1D" w:rsidP="009A1B1D">
      <w:pPr>
        <w:rPr>
          <w:b/>
          <w:color w:val="5B9BD5" w:themeColor="accent1"/>
          <w:sz w:val="28"/>
          <w:szCs w:val="28"/>
          <w:lang w:val="es-MX"/>
        </w:rPr>
      </w:pPr>
    </w:p>
    <w:p w14:paraId="26AC735C" w14:textId="77777777" w:rsidR="009A1B1D" w:rsidRDefault="009A1B1D" w:rsidP="009A1B1D">
      <w:pPr>
        <w:rPr>
          <w:b/>
          <w:color w:val="5B9BD5" w:themeColor="accent1"/>
          <w:sz w:val="28"/>
          <w:szCs w:val="28"/>
          <w:lang w:val="es-MX"/>
        </w:rPr>
      </w:pPr>
    </w:p>
    <w:p w14:paraId="40D25BF3" w14:textId="77777777" w:rsidR="009A1B1D" w:rsidRDefault="009A1B1D" w:rsidP="009A1B1D">
      <w:pPr>
        <w:rPr>
          <w:b/>
          <w:color w:val="5B9BD5" w:themeColor="accent1"/>
          <w:sz w:val="28"/>
          <w:szCs w:val="28"/>
          <w:lang w:val="es-MX"/>
        </w:rPr>
      </w:pPr>
    </w:p>
    <w:p w14:paraId="611E56B6" w14:textId="77777777" w:rsidR="009A1B1D" w:rsidRDefault="009A1B1D" w:rsidP="009A1B1D">
      <w:pPr>
        <w:rPr>
          <w:b/>
          <w:color w:val="5B9BD5" w:themeColor="accent1"/>
          <w:sz w:val="28"/>
          <w:szCs w:val="28"/>
          <w:lang w:val="es-MX"/>
        </w:rPr>
      </w:pPr>
    </w:p>
    <w:p w14:paraId="63F1715C" w14:textId="77777777" w:rsidR="009A1B1D" w:rsidRDefault="009A1B1D" w:rsidP="009A1B1D">
      <w:pPr>
        <w:rPr>
          <w:b/>
          <w:color w:val="5B9BD5" w:themeColor="accent1"/>
          <w:sz w:val="28"/>
          <w:szCs w:val="28"/>
          <w:lang w:val="es-MX"/>
        </w:rPr>
      </w:pPr>
    </w:p>
    <w:p w14:paraId="4096D02E" w14:textId="77777777" w:rsidR="009A1B1D" w:rsidRDefault="009A1B1D" w:rsidP="009A1B1D">
      <w:pPr>
        <w:rPr>
          <w:b/>
          <w:color w:val="5B9BD5" w:themeColor="accent1"/>
          <w:sz w:val="28"/>
          <w:szCs w:val="28"/>
          <w:lang w:val="es-MX"/>
        </w:rPr>
      </w:pPr>
    </w:p>
    <w:p w14:paraId="74BD54EA" w14:textId="77777777" w:rsidR="009A1B1D" w:rsidRDefault="009A1B1D" w:rsidP="009A1B1D">
      <w:pPr>
        <w:rPr>
          <w:b/>
          <w:color w:val="5B9BD5" w:themeColor="accent1"/>
          <w:sz w:val="28"/>
          <w:szCs w:val="28"/>
          <w:lang w:val="es-MX"/>
        </w:rPr>
      </w:pPr>
    </w:p>
    <w:p w14:paraId="32BDCAD4" w14:textId="77777777" w:rsidR="009A1B1D" w:rsidRDefault="009A1B1D" w:rsidP="009A1B1D">
      <w:pPr>
        <w:rPr>
          <w:b/>
          <w:color w:val="5B9BD5" w:themeColor="accent1"/>
          <w:sz w:val="28"/>
          <w:szCs w:val="28"/>
          <w:lang w:val="es-MX"/>
        </w:rPr>
      </w:pPr>
    </w:p>
    <w:p w14:paraId="75CE6D75" w14:textId="77777777" w:rsidR="009A1B1D" w:rsidRPr="00A50173" w:rsidRDefault="009A1B1D" w:rsidP="009A1B1D">
      <w:pPr>
        <w:rPr>
          <w:b/>
          <w:color w:val="5B9BD5" w:themeColor="accent1"/>
          <w:sz w:val="28"/>
          <w:szCs w:val="28"/>
          <w:lang w:val="es-MX"/>
        </w:rPr>
      </w:pPr>
    </w:p>
    <w:p w14:paraId="0B4A1712" w14:textId="77777777" w:rsidR="009A1B1D" w:rsidRPr="0009360E" w:rsidRDefault="009A1B1D" w:rsidP="009A1B1D">
      <w:pPr>
        <w:jc w:val="center"/>
        <w:rPr>
          <w:b/>
          <w:bCs/>
          <w:lang w:val="es-MX"/>
        </w:rPr>
      </w:pPr>
      <w:r w:rsidRPr="0009360E">
        <w:rPr>
          <w:b/>
          <w:bCs/>
          <w:lang w:val="es-MX"/>
        </w:rPr>
        <w:t>INTRODUCCION</w:t>
      </w:r>
    </w:p>
    <w:p w14:paraId="3463C0DE" w14:textId="77777777" w:rsidR="009A1B1D" w:rsidRDefault="009A1B1D" w:rsidP="009A1B1D">
      <w:pPr>
        <w:jc w:val="both"/>
      </w:pPr>
      <w:r>
        <w:rPr>
          <w:lang w:val="es-MX"/>
        </w:rPr>
        <w:t xml:space="preserve">La Gerencia </w:t>
      </w:r>
      <w:r>
        <w:t xml:space="preserve">financiera institucional, es la responsable de realizar la planificación, coordinación, integración y supervisión de las actividades de presupuesto, tesorería y de contabilidad gubernamental, deberá difundir y supervisar el cumplimiento de las políticas y disposiciones normativas referentes al SAFIM; así mismo deberá asesorar en la aplicación de las normas y procedimientos que emita el Ministerio de Hacienda, formando parte del enlace con las Direcciones Generales responsables de los Subsistemas que conforman el SAFIM, así como con las entidades y organismos de la institución, en cuanto a las actividades técnicas, flujos y registros de información y otros que se deriven en la ejecución de la gestión financiera. </w:t>
      </w:r>
    </w:p>
    <w:p w14:paraId="71EAC862" w14:textId="77777777" w:rsidR="009A1B1D" w:rsidRDefault="009A1B1D" w:rsidP="009A1B1D">
      <w:pPr>
        <w:jc w:val="both"/>
      </w:pPr>
      <w:r>
        <w:t>Entre otros es la responsable de Elaborar y proponer las disposiciones normativas internas, necesarias para facilitar la gestión financiera institucional, las cuales deberán ser sometidas a la aprobación del Concejo Municipal, previo a su divulgación y puesta en práctica.</w:t>
      </w:r>
    </w:p>
    <w:p w14:paraId="5716393B" w14:textId="77777777" w:rsidR="009A1B1D" w:rsidRPr="0009360E" w:rsidRDefault="009A1B1D" w:rsidP="009A1B1D">
      <w:pPr>
        <w:rPr>
          <w:b/>
          <w:bCs/>
          <w:lang w:val="es-MX"/>
        </w:rPr>
      </w:pPr>
      <w:r w:rsidRPr="0009360E">
        <w:rPr>
          <w:b/>
          <w:bCs/>
          <w:lang w:val="es-MX"/>
        </w:rPr>
        <w:t>OBJETIVO GENERAL</w:t>
      </w:r>
    </w:p>
    <w:p w14:paraId="0A9E805A" w14:textId="77777777" w:rsidR="009A1B1D" w:rsidRDefault="009A1B1D" w:rsidP="009A1B1D">
      <w:pPr>
        <w:jc w:val="both"/>
      </w:pPr>
      <w:r>
        <w:t>Proporcionar el marco procedimental que servirá de guía para el desarrollo en forma integrada e interrelacionada de las actividades que conlleva la Fase Ejecución del Proceso Administrativo Financiero.</w:t>
      </w:r>
    </w:p>
    <w:p w14:paraId="7DAEB018" w14:textId="77777777" w:rsidR="009A1B1D" w:rsidRPr="0009360E" w:rsidRDefault="009A1B1D" w:rsidP="009A1B1D">
      <w:pPr>
        <w:rPr>
          <w:b/>
          <w:bCs/>
          <w:lang w:val="es-MX"/>
        </w:rPr>
      </w:pPr>
      <w:r w:rsidRPr="0009360E">
        <w:rPr>
          <w:b/>
          <w:bCs/>
          <w:lang w:val="es-MX"/>
        </w:rPr>
        <w:t>OBJETIVO ESPECIFICO</w:t>
      </w:r>
    </w:p>
    <w:p w14:paraId="31A679C9" w14:textId="77777777" w:rsidR="009A1B1D" w:rsidRDefault="009A1B1D" w:rsidP="009A1B1D">
      <w:pPr>
        <w:jc w:val="both"/>
      </w:pPr>
      <w:r>
        <w:t xml:space="preserve">Describir los aspectos a efecto de que todo el personal que integra las diferentes áreas de las </w:t>
      </w:r>
      <w:proofErr w:type="spellStart"/>
      <w:r>
        <w:t>UFI´s</w:t>
      </w:r>
      <w:proofErr w:type="spellEnd"/>
      <w:r>
        <w:t>, conozca proveer un instrumento técnico y metodológico que permita identificar en forma secuencial las diferentes actividades las actividades que se desarrollan desde el inicio hasta la finalización del proceso, además de a desarrollar en la Fase de Ejecución del Proceso Administrativo Financiero.</w:t>
      </w:r>
    </w:p>
    <w:p w14:paraId="5A9AF19B" w14:textId="77777777" w:rsidR="009A1B1D" w:rsidRPr="0009360E" w:rsidRDefault="009A1B1D" w:rsidP="009A1B1D">
      <w:pPr>
        <w:rPr>
          <w:b/>
          <w:bCs/>
          <w:lang w:val="es-MX"/>
        </w:rPr>
      </w:pPr>
      <w:r w:rsidRPr="0009360E">
        <w:rPr>
          <w:b/>
          <w:bCs/>
          <w:lang w:val="es-MX"/>
        </w:rPr>
        <w:t>ESTRUCTURA ORGANIZATIVA</w:t>
      </w:r>
    </w:p>
    <w:p w14:paraId="05339C22" w14:textId="77777777" w:rsidR="009A1B1D" w:rsidRDefault="009A1B1D" w:rsidP="009A1B1D">
      <w:pPr>
        <w:jc w:val="both"/>
      </w:pPr>
      <w:r>
        <w:t xml:space="preserve">La Unidad Financiera Institucional será estructurada como una unidad de segundo nivel organizacional y dependerá del titular o máxima autoridad de la institución u organismo. </w:t>
      </w:r>
    </w:p>
    <w:p w14:paraId="27F96925" w14:textId="77777777" w:rsidR="009A1B1D" w:rsidRDefault="009A1B1D" w:rsidP="009A1B1D">
      <w:pPr>
        <w:jc w:val="center"/>
        <w:rPr>
          <w:noProof/>
          <w:sz w:val="24"/>
          <w:szCs w:val="24"/>
          <w:lang w:val="es-MX"/>
        </w:rPr>
      </w:pPr>
    </w:p>
    <w:p w14:paraId="26436B0A" w14:textId="77777777" w:rsidR="009A1B1D" w:rsidRDefault="009A1B1D" w:rsidP="009A1B1D">
      <w:pPr>
        <w:jc w:val="center"/>
        <w:rPr>
          <w:noProof/>
          <w:sz w:val="24"/>
          <w:szCs w:val="24"/>
          <w:lang w:val="es-MX"/>
        </w:rPr>
      </w:pPr>
      <w:r w:rsidRPr="00DF3A92">
        <w:rPr>
          <w:noProof/>
        </w:rPr>
        <w:drawing>
          <wp:inline distT="0" distB="0" distL="0" distR="0" wp14:anchorId="278AFA30" wp14:editId="19ACCD78">
            <wp:extent cx="4320540" cy="1638300"/>
            <wp:effectExtent l="0" t="0" r="3810" b="0"/>
            <wp:docPr id="55339119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540" cy="1638300"/>
                    </a:xfrm>
                    <a:prstGeom prst="rect">
                      <a:avLst/>
                    </a:prstGeom>
                    <a:noFill/>
                    <a:ln>
                      <a:noFill/>
                    </a:ln>
                  </pic:spPr>
                </pic:pic>
              </a:graphicData>
            </a:graphic>
          </wp:inline>
        </w:drawing>
      </w:r>
    </w:p>
    <w:p w14:paraId="036E13C3" w14:textId="77777777" w:rsidR="009A1B1D" w:rsidRDefault="009A1B1D" w:rsidP="009A1B1D">
      <w:pPr>
        <w:jc w:val="center"/>
        <w:rPr>
          <w:noProof/>
          <w:sz w:val="24"/>
          <w:szCs w:val="24"/>
          <w:lang w:val="es-MX"/>
        </w:rPr>
      </w:pPr>
    </w:p>
    <w:p w14:paraId="0869C948" w14:textId="77777777" w:rsidR="009A1B1D" w:rsidRDefault="009A1B1D" w:rsidP="009A1B1D">
      <w:pPr>
        <w:jc w:val="center"/>
        <w:rPr>
          <w:noProof/>
          <w:sz w:val="24"/>
          <w:szCs w:val="24"/>
          <w:lang w:val="es-MX"/>
        </w:rPr>
      </w:pPr>
    </w:p>
    <w:p w14:paraId="1C13C27D" w14:textId="77777777" w:rsidR="009A1B1D" w:rsidRDefault="009A1B1D" w:rsidP="009A1B1D">
      <w:pPr>
        <w:jc w:val="center"/>
        <w:rPr>
          <w:noProof/>
          <w:sz w:val="24"/>
          <w:szCs w:val="24"/>
          <w:lang w:val="es-MX"/>
        </w:rPr>
      </w:pPr>
    </w:p>
    <w:p w14:paraId="038231E9" w14:textId="77777777" w:rsidR="009A1B1D" w:rsidRDefault="009A1B1D" w:rsidP="009A1B1D">
      <w:pPr>
        <w:jc w:val="center"/>
        <w:rPr>
          <w:noProof/>
          <w:sz w:val="24"/>
          <w:szCs w:val="24"/>
          <w:lang w:val="es-MX"/>
        </w:rPr>
      </w:pPr>
    </w:p>
    <w:p w14:paraId="30F8CB00" w14:textId="77777777" w:rsidR="009A1B1D" w:rsidRPr="0009360E" w:rsidRDefault="009A1B1D" w:rsidP="009A1B1D">
      <w:pPr>
        <w:jc w:val="center"/>
        <w:rPr>
          <w:b/>
          <w:bCs/>
          <w:lang w:val="es-MX"/>
        </w:rPr>
      </w:pPr>
      <w:r>
        <w:rPr>
          <w:b/>
          <w:bCs/>
          <w:lang w:val="es-MX"/>
        </w:rPr>
        <w:t>LOGROS ALCANZADOS</w:t>
      </w:r>
    </w:p>
    <w:p w14:paraId="53908A74" w14:textId="77777777" w:rsidR="009A1B1D" w:rsidRDefault="009A1B1D" w:rsidP="009A1B1D">
      <w:pPr>
        <w:jc w:val="both"/>
        <w:rPr>
          <w:sz w:val="24"/>
          <w:szCs w:val="24"/>
          <w:lang w:val="es-MX"/>
        </w:rPr>
      </w:pPr>
      <w:r w:rsidRPr="000840ED">
        <w:rPr>
          <w:sz w:val="24"/>
          <w:szCs w:val="24"/>
          <w:lang w:val="es-MX"/>
        </w:rPr>
        <w:t>La Unidad Financiera Institucional durante el año 202</w:t>
      </w:r>
      <w:r>
        <w:rPr>
          <w:sz w:val="24"/>
          <w:szCs w:val="24"/>
          <w:lang w:val="es-MX"/>
        </w:rPr>
        <w:t>4</w:t>
      </w:r>
      <w:r w:rsidRPr="000840ED">
        <w:rPr>
          <w:sz w:val="24"/>
          <w:szCs w:val="24"/>
          <w:lang w:val="es-MX"/>
        </w:rPr>
        <w:t>, desarrolló</w:t>
      </w:r>
      <w:r>
        <w:rPr>
          <w:sz w:val="24"/>
          <w:szCs w:val="24"/>
          <w:lang w:val="es-MX"/>
        </w:rPr>
        <w:t xml:space="preserve"> las</w:t>
      </w:r>
      <w:r w:rsidRPr="000840ED">
        <w:rPr>
          <w:sz w:val="24"/>
          <w:szCs w:val="24"/>
          <w:lang w:val="es-MX"/>
        </w:rPr>
        <w:t xml:space="preserve"> actividades </w:t>
      </w:r>
      <w:r>
        <w:rPr>
          <w:sz w:val="24"/>
          <w:szCs w:val="24"/>
          <w:lang w:val="es-MX"/>
        </w:rPr>
        <w:t xml:space="preserve">aplicando la normativa interna y externa, bajo </w:t>
      </w:r>
      <w:r w:rsidRPr="000840ED">
        <w:rPr>
          <w:sz w:val="24"/>
          <w:szCs w:val="24"/>
          <w:lang w:val="es-MX"/>
        </w:rPr>
        <w:t>los principios de legalidad,</w:t>
      </w:r>
      <w:r>
        <w:rPr>
          <w:sz w:val="24"/>
          <w:szCs w:val="24"/>
          <w:lang w:val="es-MX"/>
        </w:rPr>
        <w:t xml:space="preserve"> </w:t>
      </w:r>
      <w:r w:rsidRPr="000840ED">
        <w:rPr>
          <w:sz w:val="24"/>
          <w:szCs w:val="24"/>
          <w:lang w:val="es-MX"/>
        </w:rPr>
        <w:t>transparencia, racionalidad, y equilibrio presupuestario</w:t>
      </w:r>
      <w:r>
        <w:rPr>
          <w:sz w:val="24"/>
          <w:szCs w:val="24"/>
          <w:lang w:val="es-MX"/>
        </w:rPr>
        <w:t xml:space="preserve">. Con los recursos financieros obtenidos, logro brindar una </w:t>
      </w:r>
      <w:r w:rsidRPr="000840ED">
        <w:rPr>
          <w:sz w:val="24"/>
          <w:szCs w:val="24"/>
          <w:lang w:val="es-MX"/>
        </w:rPr>
        <w:t xml:space="preserve">atención </w:t>
      </w:r>
      <w:r>
        <w:rPr>
          <w:sz w:val="24"/>
          <w:szCs w:val="24"/>
          <w:lang w:val="es-MX"/>
        </w:rPr>
        <w:t xml:space="preserve">oportuna y </w:t>
      </w:r>
      <w:r w:rsidRPr="000840ED">
        <w:rPr>
          <w:sz w:val="24"/>
          <w:szCs w:val="24"/>
          <w:lang w:val="es-MX"/>
        </w:rPr>
        <w:t>con calidad humana,</w:t>
      </w:r>
      <w:r>
        <w:rPr>
          <w:sz w:val="24"/>
          <w:szCs w:val="24"/>
          <w:lang w:val="es-MX"/>
        </w:rPr>
        <w:t xml:space="preserve"> a la población, según las asignaciones presupuestarias aprobadas por el Concejo Municipal.</w:t>
      </w:r>
      <w:r w:rsidRPr="000840ED">
        <w:rPr>
          <w:sz w:val="24"/>
          <w:szCs w:val="24"/>
          <w:lang w:val="es-MX"/>
        </w:rPr>
        <w:t xml:space="preserve"> </w:t>
      </w:r>
    </w:p>
    <w:p w14:paraId="6B1C5A9B" w14:textId="77777777" w:rsidR="009A1B1D" w:rsidRDefault="009A1B1D" w:rsidP="009A1B1D">
      <w:pPr>
        <w:jc w:val="both"/>
        <w:rPr>
          <w:sz w:val="24"/>
          <w:szCs w:val="24"/>
          <w:lang w:val="es-MX"/>
        </w:rPr>
      </w:pPr>
      <w:r>
        <w:rPr>
          <w:sz w:val="24"/>
          <w:szCs w:val="24"/>
          <w:lang w:val="es-MX"/>
        </w:rPr>
        <w:t>Los recursos permitieron a San Salvador Oeste,  atender programas de atención social a la población, específicamente en la entrega de Becas; habilitación de piscina olímpica del polideportivo de Nejapa; así mismo se contó con recursos suficientes para brindar una atención de limpieza eficiente en los Distritos de Apopa y Nejapa, con ello se logró mantener limpio el Municipio, también se dio mantenimiento y reparación en las principales carreteras de la zona, lo cual nos ubicó como una de las alcaldías más eficientes, durante los primeros seis meses de gestión municipal, liderada por el Licenciado José Asunción Urbina Alvarenga y su equipo de trabajo.</w:t>
      </w:r>
    </w:p>
    <w:p w14:paraId="39CCDDAD" w14:textId="77777777" w:rsidR="009A1B1D" w:rsidRDefault="009A1B1D" w:rsidP="009A1B1D">
      <w:pPr>
        <w:jc w:val="both"/>
        <w:rPr>
          <w:sz w:val="24"/>
          <w:szCs w:val="24"/>
          <w:lang w:val="es-MX"/>
        </w:rPr>
      </w:pPr>
      <w:r>
        <w:rPr>
          <w:sz w:val="24"/>
          <w:szCs w:val="24"/>
          <w:lang w:val="es-MX"/>
        </w:rPr>
        <w:t>Durante el año, San Salvador Oeste, logró atender algunas zonas, las cuales nunca habían sido intervenidas en periodos anteriores.</w:t>
      </w:r>
    </w:p>
    <w:p w14:paraId="036108F2" w14:textId="77777777" w:rsidR="009A1B1D" w:rsidRDefault="009A1B1D" w:rsidP="009A1B1D">
      <w:pPr>
        <w:jc w:val="both"/>
        <w:rPr>
          <w:sz w:val="24"/>
          <w:szCs w:val="24"/>
          <w:lang w:val="es-MX"/>
        </w:rPr>
      </w:pPr>
      <w:r>
        <w:rPr>
          <w:sz w:val="24"/>
          <w:szCs w:val="24"/>
          <w:lang w:val="es-MX"/>
        </w:rPr>
        <w:t xml:space="preserve">El desarrollo de la zona y el seguimiento de la gestión de cobranza, permitieron a la Alcaldía, recaudar recursos a través de los diferentes tributos, cobrados a los contribuyentes por la cantidad de $18.8 millones aproximadamente, recursos que cubrieron, todas las necesidades antes descritas. </w:t>
      </w:r>
    </w:p>
    <w:p w14:paraId="3CA0F040" w14:textId="77777777" w:rsidR="009A1B1D" w:rsidRDefault="009A1B1D" w:rsidP="009A1B1D">
      <w:pPr>
        <w:jc w:val="both"/>
        <w:rPr>
          <w:rFonts w:ascii="Calibri" w:eastAsia="Arial Unicode MS" w:hAnsi="Calibri" w:cs="Calibri"/>
          <w:sz w:val="24"/>
          <w:szCs w:val="24"/>
          <w:lang w:eastAsia="es-ES"/>
        </w:rPr>
      </w:pPr>
      <w:r>
        <w:rPr>
          <w:rFonts w:ascii="Calibri" w:eastAsia="Arial Unicode MS" w:hAnsi="Calibri" w:cs="Calibri"/>
          <w:sz w:val="24"/>
          <w:szCs w:val="24"/>
          <w:lang w:eastAsia="es-ES"/>
        </w:rPr>
        <w:t>Las Jefaturas de los d</w:t>
      </w:r>
      <w:r w:rsidRPr="00AB62CA">
        <w:rPr>
          <w:rFonts w:ascii="Calibri" w:eastAsia="Arial Unicode MS" w:hAnsi="Calibri" w:cs="Calibri"/>
          <w:sz w:val="24"/>
          <w:szCs w:val="24"/>
          <w:lang w:eastAsia="es-ES"/>
        </w:rPr>
        <w:t>epartamento</w:t>
      </w:r>
      <w:r>
        <w:rPr>
          <w:rFonts w:ascii="Calibri" w:eastAsia="Arial Unicode MS" w:hAnsi="Calibri" w:cs="Calibri"/>
          <w:sz w:val="24"/>
          <w:szCs w:val="24"/>
          <w:lang w:eastAsia="es-ES"/>
        </w:rPr>
        <w:t>s</w:t>
      </w:r>
      <w:r w:rsidRPr="00AB62CA">
        <w:rPr>
          <w:rFonts w:ascii="Calibri" w:eastAsia="Arial Unicode MS" w:hAnsi="Calibri" w:cs="Calibri"/>
          <w:sz w:val="24"/>
          <w:szCs w:val="24"/>
          <w:lang w:eastAsia="es-ES"/>
        </w:rPr>
        <w:t xml:space="preserve"> de </w:t>
      </w:r>
      <w:r>
        <w:rPr>
          <w:rFonts w:ascii="Calibri" w:eastAsia="Arial Unicode MS" w:hAnsi="Calibri" w:cs="Calibri"/>
          <w:sz w:val="24"/>
          <w:szCs w:val="24"/>
          <w:lang w:eastAsia="es-ES"/>
        </w:rPr>
        <w:t>Presupuesto, Tesorería y C</w:t>
      </w:r>
      <w:r w:rsidRPr="00AB62CA">
        <w:rPr>
          <w:rFonts w:ascii="Calibri" w:eastAsia="Arial Unicode MS" w:hAnsi="Calibri" w:cs="Calibri"/>
          <w:sz w:val="24"/>
          <w:szCs w:val="24"/>
          <w:lang w:eastAsia="es-ES"/>
        </w:rPr>
        <w:t>ontabilidad</w:t>
      </w:r>
      <w:r>
        <w:rPr>
          <w:rFonts w:ascii="Calibri" w:eastAsia="Arial Unicode MS" w:hAnsi="Calibri" w:cs="Calibri"/>
          <w:sz w:val="24"/>
          <w:szCs w:val="24"/>
          <w:lang w:eastAsia="es-ES"/>
        </w:rPr>
        <w:t xml:space="preserve">, Jefaturas que conforman </w:t>
      </w:r>
      <w:r w:rsidRPr="00AB62CA">
        <w:rPr>
          <w:rFonts w:ascii="Calibri" w:eastAsia="Arial Unicode MS" w:hAnsi="Calibri" w:cs="Calibri"/>
          <w:sz w:val="24"/>
          <w:szCs w:val="24"/>
          <w:lang w:eastAsia="es-ES"/>
        </w:rPr>
        <w:t>la Gerencia Financiera Institucional</w:t>
      </w:r>
      <w:r>
        <w:rPr>
          <w:rFonts w:ascii="Calibri" w:eastAsia="Arial Unicode MS" w:hAnsi="Calibri" w:cs="Calibri"/>
          <w:sz w:val="24"/>
          <w:szCs w:val="24"/>
          <w:lang w:eastAsia="es-ES"/>
        </w:rPr>
        <w:t>, son</w:t>
      </w:r>
      <w:r w:rsidRPr="00AB62CA">
        <w:rPr>
          <w:rFonts w:ascii="Calibri" w:eastAsia="Arial Unicode MS" w:hAnsi="Calibri" w:cs="Calibri"/>
          <w:sz w:val="24"/>
          <w:szCs w:val="24"/>
          <w:lang w:eastAsia="es-ES"/>
        </w:rPr>
        <w:t xml:space="preserve"> </w:t>
      </w:r>
      <w:r>
        <w:rPr>
          <w:rFonts w:ascii="Calibri" w:eastAsia="Arial Unicode MS" w:hAnsi="Calibri" w:cs="Calibri"/>
          <w:sz w:val="24"/>
          <w:szCs w:val="24"/>
          <w:lang w:eastAsia="es-ES"/>
        </w:rPr>
        <w:t xml:space="preserve">las encargadas de </w:t>
      </w:r>
      <w:r w:rsidRPr="00AB62CA">
        <w:rPr>
          <w:rFonts w:ascii="Calibri" w:eastAsia="Arial Unicode MS" w:hAnsi="Calibri" w:cs="Calibri"/>
          <w:sz w:val="24"/>
          <w:szCs w:val="24"/>
          <w:lang w:eastAsia="es-ES"/>
        </w:rPr>
        <w:t xml:space="preserve">registrar </w:t>
      </w:r>
      <w:r>
        <w:rPr>
          <w:rFonts w:ascii="Calibri" w:eastAsia="Arial Unicode MS" w:hAnsi="Calibri" w:cs="Calibri"/>
          <w:sz w:val="24"/>
          <w:szCs w:val="24"/>
          <w:lang w:eastAsia="es-ES"/>
        </w:rPr>
        <w:t xml:space="preserve">y generar reportes </w:t>
      </w:r>
      <w:r w:rsidRPr="00AB62CA">
        <w:rPr>
          <w:rFonts w:ascii="Calibri" w:eastAsia="Arial Unicode MS" w:hAnsi="Calibri" w:cs="Calibri"/>
          <w:sz w:val="24"/>
          <w:szCs w:val="24"/>
          <w:lang w:eastAsia="es-ES"/>
        </w:rPr>
        <w:t>oportunamente</w:t>
      </w:r>
      <w:r>
        <w:rPr>
          <w:rFonts w:ascii="Calibri" w:eastAsia="Arial Unicode MS" w:hAnsi="Calibri" w:cs="Calibri"/>
          <w:sz w:val="24"/>
          <w:szCs w:val="24"/>
          <w:lang w:eastAsia="es-ES"/>
        </w:rPr>
        <w:t xml:space="preserve"> para la toma de decisiones, sobre</w:t>
      </w:r>
      <w:r w:rsidRPr="00AB62CA">
        <w:rPr>
          <w:rFonts w:ascii="Calibri" w:eastAsia="Arial Unicode MS" w:hAnsi="Calibri" w:cs="Calibri"/>
          <w:sz w:val="24"/>
          <w:szCs w:val="24"/>
          <w:lang w:eastAsia="es-ES"/>
        </w:rPr>
        <w:t xml:space="preserve"> todas las operaciones relacionadas a los ingresos y egresos </w:t>
      </w:r>
      <w:r>
        <w:rPr>
          <w:rFonts w:ascii="Calibri" w:eastAsia="Arial Unicode MS" w:hAnsi="Calibri" w:cs="Calibri"/>
          <w:sz w:val="24"/>
          <w:szCs w:val="24"/>
          <w:lang w:eastAsia="es-ES"/>
        </w:rPr>
        <w:t xml:space="preserve">municipales </w:t>
      </w:r>
      <w:r w:rsidRPr="00AB62CA">
        <w:rPr>
          <w:rFonts w:ascii="Calibri" w:eastAsia="Arial Unicode MS" w:hAnsi="Calibri" w:cs="Calibri"/>
          <w:sz w:val="24"/>
          <w:szCs w:val="24"/>
          <w:lang w:eastAsia="es-ES"/>
        </w:rPr>
        <w:t xml:space="preserve">mediante la aplicación de </w:t>
      </w:r>
      <w:r>
        <w:rPr>
          <w:rFonts w:ascii="Calibri" w:eastAsia="Arial Unicode MS" w:hAnsi="Calibri" w:cs="Calibri"/>
          <w:sz w:val="24"/>
          <w:szCs w:val="24"/>
          <w:lang w:eastAsia="es-ES"/>
        </w:rPr>
        <w:t xml:space="preserve">Normas contables y </w:t>
      </w:r>
      <w:r w:rsidRPr="00AB62CA">
        <w:rPr>
          <w:rFonts w:ascii="Calibri" w:eastAsia="Arial Unicode MS" w:hAnsi="Calibri" w:cs="Calibri"/>
          <w:sz w:val="24"/>
          <w:szCs w:val="24"/>
          <w:lang w:eastAsia="es-ES"/>
        </w:rPr>
        <w:t xml:space="preserve">controles internos </w:t>
      </w:r>
      <w:r>
        <w:rPr>
          <w:rFonts w:ascii="Calibri" w:eastAsia="Arial Unicode MS" w:hAnsi="Calibri" w:cs="Calibri"/>
          <w:sz w:val="24"/>
          <w:szCs w:val="24"/>
          <w:lang w:eastAsia="es-ES"/>
        </w:rPr>
        <w:t>adecuados.</w:t>
      </w:r>
    </w:p>
    <w:p w14:paraId="052D93E8" w14:textId="77777777" w:rsidR="009A1B1D" w:rsidRDefault="009A1B1D" w:rsidP="009A1B1D">
      <w:pPr>
        <w:jc w:val="both"/>
        <w:rPr>
          <w:rFonts w:ascii="Calibri" w:eastAsia="Arial Unicode MS" w:hAnsi="Calibri" w:cs="Calibri"/>
          <w:sz w:val="24"/>
          <w:szCs w:val="24"/>
          <w:lang w:eastAsia="es-ES"/>
        </w:rPr>
      </w:pPr>
      <w:r>
        <w:rPr>
          <w:rFonts w:ascii="Calibri" w:eastAsia="Arial Unicode MS" w:hAnsi="Calibri" w:cs="Calibri"/>
          <w:sz w:val="24"/>
          <w:szCs w:val="24"/>
          <w:lang w:eastAsia="es-ES"/>
        </w:rPr>
        <w:t>Es oportuno mencionar que, durante la gestión realizada, se logró notables avances en la Contabilidad de la Municipalidad, es así que durante el periodo antes descrito se encontró los registros contables de la alcaldía de Apopa al 30 de junio de 2022 y al cierre del año 2024 se terminó hasta el 30 de abril 2023, Alcaldía de Nejapa 31 de julio 2023</w:t>
      </w:r>
    </w:p>
    <w:p w14:paraId="408FD7CA" w14:textId="77777777" w:rsidR="009A1B1D" w:rsidRDefault="009A1B1D" w:rsidP="009A1B1D">
      <w:pPr>
        <w:jc w:val="both"/>
        <w:rPr>
          <w:sz w:val="24"/>
          <w:szCs w:val="24"/>
          <w:lang w:val="es-MX"/>
        </w:rPr>
      </w:pPr>
      <w:r>
        <w:rPr>
          <w:sz w:val="24"/>
          <w:szCs w:val="24"/>
          <w:lang w:val="es-MX"/>
        </w:rPr>
        <w:t>La gestión financiera, se logró con el apoyo del talento humano que conforma cada departamento de la Gerencia Financiera Institucional, quienes, con su gran aporte, mística de trabajo, principios éticos, responsabilidad y mejora continua, permitieron alcanzar las metas y cumplir con los objetivos Institucionales, realizando las actividades principales descritas a continuación:</w:t>
      </w:r>
    </w:p>
    <w:p w14:paraId="6956362C" w14:textId="77777777" w:rsidR="009A1B1D" w:rsidRDefault="009A1B1D" w:rsidP="009A1B1D">
      <w:pPr>
        <w:rPr>
          <w:sz w:val="24"/>
          <w:szCs w:val="24"/>
          <w:lang w:val="es-MX"/>
        </w:rPr>
      </w:pPr>
      <w:r>
        <w:rPr>
          <w:sz w:val="24"/>
          <w:szCs w:val="24"/>
          <w:lang w:val="es-MX"/>
        </w:rPr>
        <w:br w:type="page"/>
      </w:r>
    </w:p>
    <w:tbl>
      <w:tblPr>
        <w:tblW w:w="8752" w:type="dxa"/>
        <w:tblCellMar>
          <w:left w:w="70" w:type="dxa"/>
          <w:right w:w="70" w:type="dxa"/>
        </w:tblCellMar>
        <w:tblLook w:val="04A0" w:firstRow="1" w:lastRow="0" w:firstColumn="1" w:lastColumn="0" w:noHBand="0" w:noVBand="1"/>
      </w:tblPr>
      <w:tblGrid>
        <w:gridCol w:w="557"/>
        <w:gridCol w:w="8195"/>
      </w:tblGrid>
      <w:tr w:rsidR="009A1B1D" w:rsidRPr="00DA0A97" w14:paraId="393AFBC4" w14:textId="77777777" w:rsidTr="009A1B1D">
        <w:trPr>
          <w:trHeight w:val="281"/>
        </w:trPr>
        <w:tc>
          <w:tcPr>
            <w:tcW w:w="557" w:type="dxa"/>
            <w:vMerge w:val="restart"/>
            <w:tcBorders>
              <w:top w:val="single" w:sz="4" w:space="0" w:color="757171"/>
              <w:left w:val="single" w:sz="4" w:space="0" w:color="757171"/>
              <w:bottom w:val="single" w:sz="4" w:space="0" w:color="757171"/>
              <w:right w:val="single" w:sz="4" w:space="0" w:color="757171"/>
            </w:tcBorders>
            <w:shd w:val="clear" w:color="000000" w:fill="66CCFF"/>
            <w:noWrap/>
            <w:textDirection w:val="btLr"/>
            <w:vAlign w:val="center"/>
            <w:hideMark/>
          </w:tcPr>
          <w:p w14:paraId="05EFA041" w14:textId="77777777" w:rsidR="009A1B1D" w:rsidRDefault="009A1B1D" w:rsidP="004145A1">
            <w:pPr>
              <w:spacing w:after="0" w:line="240" w:lineRule="auto"/>
              <w:ind w:left="113" w:right="113"/>
              <w:jc w:val="center"/>
              <w:rPr>
                <w:rFonts w:ascii="Calibri" w:eastAsia="Times New Roman" w:hAnsi="Calibri" w:cs="Calibri"/>
                <w:b/>
                <w:bCs/>
                <w:color w:val="000000"/>
                <w:lang w:eastAsia="es-SV"/>
              </w:rPr>
            </w:pPr>
          </w:p>
          <w:p w14:paraId="2B69355D" w14:textId="3992C7E5" w:rsidR="009A1B1D" w:rsidRPr="00DA0A97" w:rsidRDefault="009A1B1D" w:rsidP="004145A1">
            <w:pPr>
              <w:spacing w:after="0" w:line="240" w:lineRule="auto"/>
              <w:ind w:left="113" w:right="113"/>
              <w:jc w:val="center"/>
              <w:rPr>
                <w:rFonts w:ascii="Calibri" w:eastAsia="Times New Roman" w:hAnsi="Calibri" w:cs="Calibri"/>
                <w:b/>
                <w:bCs/>
                <w:color w:val="000000"/>
                <w:lang w:eastAsia="es-SV"/>
              </w:rPr>
            </w:pPr>
          </w:p>
        </w:tc>
        <w:tc>
          <w:tcPr>
            <w:tcW w:w="8195" w:type="dxa"/>
            <w:tcBorders>
              <w:top w:val="single" w:sz="4" w:space="0" w:color="757171"/>
              <w:left w:val="nil"/>
              <w:bottom w:val="single" w:sz="4" w:space="0" w:color="757171"/>
              <w:right w:val="single" w:sz="4" w:space="0" w:color="757171"/>
            </w:tcBorders>
            <w:shd w:val="clear" w:color="000000" w:fill="66CCFF"/>
            <w:vAlign w:val="center"/>
            <w:hideMark/>
          </w:tcPr>
          <w:p w14:paraId="7E310287" w14:textId="77777777" w:rsidR="009A1B1D" w:rsidRPr="00DA0A97" w:rsidRDefault="009A1B1D" w:rsidP="004145A1">
            <w:pPr>
              <w:spacing w:after="0" w:line="240" w:lineRule="auto"/>
              <w:jc w:val="center"/>
              <w:rPr>
                <w:rFonts w:ascii="Calibri" w:eastAsia="Times New Roman" w:hAnsi="Calibri" w:cs="Calibri"/>
                <w:b/>
                <w:bCs/>
                <w:color w:val="000000"/>
                <w:lang w:eastAsia="es-SV"/>
              </w:rPr>
            </w:pPr>
            <w:r w:rsidRPr="00DA0A97">
              <w:rPr>
                <w:rFonts w:ascii="Calibri" w:eastAsia="Times New Roman" w:hAnsi="Calibri" w:cs="Calibri"/>
                <w:b/>
                <w:bCs/>
                <w:color w:val="000000"/>
                <w:lang w:eastAsia="es-SV"/>
              </w:rPr>
              <w:t>Actividades Primarias</w:t>
            </w:r>
          </w:p>
        </w:tc>
      </w:tr>
      <w:tr w:rsidR="009A1B1D" w:rsidRPr="00DA0A97" w14:paraId="16565341" w14:textId="77777777" w:rsidTr="009A1B1D">
        <w:trPr>
          <w:trHeight w:val="456"/>
        </w:trPr>
        <w:tc>
          <w:tcPr>
            <w:tcW w:w="557" w:type="dxa"/>
            <w:vMerge/>
            <w:tcBorders>
              <w:top w:val="single" w:sz="4" w:space="0" w:color="757171"/>
              <w:left w:val="single" w:sz="4" w:space="0" w:color="757171"/>
              <w:bottom w:val="single" w:sz="4" w:space="0" w:color="757171"/>
              <w:right w:val="single" w:sz="4" w:space="0" w:color="757171"/>
            </w:tcBorders>
            <w:vAlign w:val="center"/>
            <w:hideMark/>
          </w:tcPr>
          <w:p w14:paraId="26D95875" w14:textId="77777777" w:rsidR="009A1B1D" w:rsidRPr="00DA0A97" w:rsidRDefault="009A1B1D" w:rsidP="004145A1">
            <w:pPr>
              <w:spacing w:after="0" w:line="240" w:lineRule="auto"/>
              <w:rPr>
                <w:rFonts w:ascii="Calibri" w:eastAsia="Times New Roman" w:hAnsi="Calibri" w:cs="Calibri"/>
                <w:b/>
                <w:bCs/>
                <w:color w:val="000000"/>
                <w:lang w:eastAsia="es-SV"/>
              </w:rPr>
            </w:pPr>
          </w:p>
        </w:tc>
        <w:tc>
          <w:tcPr>
            <w:tcW w:w="8195" w:type="dxa"/>
            <w:tcBorders>
              <w:top w:val="nil"/>
              <w:left w:val="nil"/>
              <w:bottom w:val="single" w:sz="4" w:space="0" w:color="757171"/>
              <w:right w:val="single" w:sz="4" w:space="0" w:color="757171"/>
            </w:tcBorders>
            <w:shd w:val="clear" w:color="auto" w:fill="auto"/>
            <w:vAlign w:val="center"/>
            <w:hideMark/>
          </w:tcPr>
          <w:p w14:paraId="7B235A90" w14:textId="77777777" w:rsidR="009A1B1D" w:rsidRPr="00DA0A97" w:rsidRDefault="009A1B1D" w:rsidP="004145A1">
            <w:pPr>
              <w:spacing w:after="0" w:line="240" w:lineRule="auto"/>
              <w:jc w:val="both"/>
              <w:rPr>
                <w:rFonts w:ascii="Calibri" w:eastAsia="Times New Roman" w:hAnsi="Calibri" w:cs="Calibri"/>
                <w:b/>
                <w:bCs/>
                <w:color w:val="000000"/>
                <w:lang w:eastAsia="es-SV"/>
              </w:rPr>
            </w:pPr>
            <w:r w:rsidRPr="00DA0A97">
              <w:rPr>
                <w:rFonts w:ascii="Calibri" w:eastAsia="Times New Roman" w:hAnsi="Calibri" w:cs="Calibri"/>
                <w:b/>
                <w:bCs/>
                <w:color w:val="000000"/>
                <w:lang w:eastAsia="es-SV"/>
              </w:rPr>
              <w:t>Entrega de Becas, y otras prestaciones económicas a la Población.</w:t>
            </w:r>
          </w:p>
        </w:tc>
      </w:tr>
      <w:tr w:rsidR="009A1B1D" w:rsidRPr="00DA0A97" w14:paraId="1AB3688B" w14:textId="77777777" w:rsidTr="009A1B1D">
        <w:trPr>
          <w:trHeight w:val="585"/>
        </w:trPr>
        <w:tc>
          <w:tcPr>
            <w:tcW w:w="557" w:type="dxa"/>
            <w:vMerge/>
            <w:tcBorders>
              <w:top w:val="single" w:sz="4" w:space="0" w:color="757171"/>
              <w:left w:val="single" w:sz="4" w:space="0" w:color="757171"/>
              <w:bottom w:val="single" w:sz="4" w:space="0" w:color="757171"/>
              <w:right w:val="single" w:sz="4" w:space="0" w:color="757171"/>
            </w:tcBorders>
            <w:vAlign w:val="center"/>
            <w:hideMark/>
          </w:tcPr>
          <w:p w14:paraId="08C4B1B8" w14:textId="77777777" w:rsidR="009A1B1D" w:rsidRPr="00DA0A97" w:rsidRDefault="009A1B1D" w:rsidP="004145A1">
            <w:pPr>
              <w:spacing w:after="0" w:line="240" w:lineRule="auto"/>
              <w:rPr>
                <w:rFonts w:ascii="Calibri" w:eastAsia="Times New Roman" w:hAnsi="Calibri" w:cs="Calibri"/>
                <w:b/>
                <w:bCs/>
                <w:color w:val="000000"/>
                <w:lang w:eastAsia="es-SV"/>
              </w:rPr>
            </w:pPr>
          </w:p>
        </w:tc>
        <w:tc>
          <w:tcPr>
            <w:tcW w:w="8195" w:type="dxa"/>
            <w:tcBorders>
              <w:top w:val="nil"/>
              <w:left w:val="nil"/>
              <w:bottom w:val="single" w:sz="4" w:space="0" w:color="757171"/>
              <w:right w:val="single" w:sz="4" w:space="0" w:color="757171"/>
            </w:tcBorders>
            <w:shd w:val="clear" w:color="auto" w:fill="auto"/>
            <w:vAlign w:val="center"/>
            <w:hideMark/>
          </w:tcPr>
          <w:p w14:paraId="7CE28FCB" w14:textId="77777777" w:rsidR="009A1B1D" w:rsidRPr="00DA0A97" w:rsidRDefault="009A1B1D" w:rsidP="004145A1">
            <w:pPr>
              <w:spacing w:after="0" w:line="240" w:lineRule="auto"/>
              <w:jc w:val="both"/>
              <w:rPr>
                <w:rFonts w:ascii="Calibri" w:eastAsia="Times New Roman" w:hAnsi="Calibri" w:cs="Calibri"/>
                <w:b/>
                <w:bCs/>
                <w:color w:val="000000"/>
                <w:lang w:eastAsia="es-SV"/>
              </w:rPr>
            </w:pPr>
            <w:r w:rsidRPr="00DA0A97">
              <w:rPr>
                <w:rFonts w:ascii="Calibri" w:eastAsia="Times New Roman" w:hAnsi="Calibri" w:cs="Calibri"/>
                <w:b/>
                <w:bCs/>
                <w:color w:val="000000"/>
                <w:lang w:eastAsia="es-SV"/>
              </w:rPr>
              <w:t>Validación y entrega de Constancias de Solvencias Municipales a la Población.</w:t>
            </w:r>
          </w:p>
        </w:tc>
      </w:tr>
      <w:tr w:rsidR="009A1B1D" w:rsidRPr="00DA0A97" w14:paraId="38937257" w14:textId="77777777" w:rsidTr="009A1B1D">
        <w:trPr>
          <w:trHeight w:val="848"/>
        </w:trPr>
        <w:tc>
          <w:tcPr>
            <w:tcW w:w="557" w:type="dxa"/>
            <w:vMerge/>
            <w:tcBorders>
              <w:top w:val="single" w:sz="4" w:space="0" w:color="757171"/>
              <w:left w:val="single" w:sz="4" w:space="0" w:color="757171"/>
              <w:bottom w:val="single" w:sz="4" w:space="0" w:color="757171"/>
              <w:right w:val="single" w:sz="4" w:space="0" w:color="757171"/>
            </w:tcBorders>
            <w:vAlign w:val="center"/>
            <w:hideMark/>
          </w:tcPr>
          <w:p w14:paraId="6FBE5178" w14:textId="77777777" w:rsidR="009A1B1D" w:rsidRPr="00DA0A97" w:rsidRDefault="009A1B1D" w:rsidP="004145A1">
            <w:pPr>
              <w:spacing w:after="0" w:line="240" w:lineRule="auto"/>
              <w:rPr>
                <w:rFonts w:ascii="Calibri" w:eastAsia="Times New Roman" w:hAnsi="Calibri" w:cs="Calibri"/>
                <w:b/>
                <w:bCs/>
                <w:color w:val="000000"/>
                <w:lang w:eastAsia="es-SV"/>
              </w:rPr>
            </w:pPr>
          </w:p>
        </w:tc>
        <w:tc>
          <w:tcPr>
            <w:tcW w:w="8195" w:type="dxa"/>
            <w:tcBorders>
              <w:top w:val="nil"/>
              <w:left w:val="nil"/>
              <w:bottom w:val="single" w:sz="4" w:space="0" w:color="757171"/>
              <w:right w:val="single" w:sz="4" w:space="0" w:color="757171"/>
            </w:tcBorders>
            <w:shd w:val="clear" w:color="auto" w:fill="auto"/>
            <w:vAlign w:val="center"/>
            <w:hideMark/>
          </w:tcPr>
          <w:p w14:paraId="7348528A" w14:textId="77777777" w:rsidR="009A1B1D" w:rsidRPr="00DA0A97" w:rsidRDefault="009A1B1D" w:rsidP="004145A1">
            <w:pPr>
              <w:spacing w:after="0" w:line="240" w:lineRule="auto"/>
              <w:jc w:val="both"/>
              <w:rPr>
                <w:rFonts w:ascii="Calibri" w:eastAsia="Times New Roman" w:hAnsi="Calibri" w:cs="Calibri"/>
                <w:b/>
                <w:bCs/>
                <w:color w:val="000000"/>
                <w:lang w:eastAsia="es-SV"/>
              </w:rPr>
            </w:pPr>
            <w:r w:rsidRPr="00DA0A97">
              <w:rPr>
                <w:rFonts w:ascii="Calibri" w:eastAsia="Times New Roman" w:hAnsi="Calibri" w:cs="Calibri"/>
                <w:b/>
                <w:bCs/>
                <w:color w:val="000000"/>
                <w:lang w:eastAsia="es-SV"/>
              </w:rPr>
              <w:t>Validación y aceptación de órdenes de descuento de préstamos o créditos otorgados por medio de Instituciones Financieras a empleados de la Municipalidad.</w:t>
            </w:r>
          </w:p>
        </w:tc>
      </w:tr>
      <w:tr w:rsidR="009A1B1D" w:rsidRPr="00DA0A97" w14:paraId="44611EF3" w14:textId="77777777" w:rsidTr="009A1B1D">
        <w:trPr>
          <w:trHeight w:val="403"/>
        </w:trPr>
        <w:tc>
          <w:tcPr>
            <w:tcW w:w="557" w:type="dxa"/>
            <w:vMerge/>
            <w:tcBorders>
              <w:top w:val="single" w:sz="4" w:space="0" w:color="757171"/>
              <w:left w:val="single" w:sz="4" w:space="0" w:color="757171"/>
              <w:bottom w:val="single" w:sz="4" w:space="0" w:color="757171"/>
              <w:right w:val="single" w:sz="4" w:space="0" w:color="757171"/>
            </w:tcBorders>
            <w:vAlign w:val="center"/>
            <w:hideMark/>
          </w:tcPr>
          <w:p w14:paraId="0B965757" w14:textId="77777777" w:rsidR="009A1B1D" w:rsidRPr="00DA0A97" w:rsidRDefault="009A1B1D" w:rsidP="004145A1">
            <w:pPr>
              <w:spacing w:after="0" w:line="240" w:lineRule="auto"/>
              <w:rPr>
                <w:rFonts w:ascii="Calibri" w:eastAsia="Times New Roman" w:hAnsi="Calibri" w:cs="Calibri"/>
                <w:b/>
                <w:bCs/>
                <w:color w:val="000000"/>
                <w:lang w:eastAsia="es-SV"/>
              </w:rPr>
            </w:pPr>
          </w:p>
        </w:tc>
        <w:tc>
          <w:tcPr>
            <w:tcW w:w="8195" w:type="dxa"/>
            <w:tcBorders>
              <w:top w:val="nil"/>
              <w:left w:val="nil"/>
              <w:bottom w:val="single" w:sz="4" w:space="0" w:color="757171"/>
              <w:right w:val="single" w:sz="4" w:space="0" w:color="757171"/>
            </w:tcBorders>
            <w:shd w:val="clear" w:color="auto" w:fill="auto"/>
            <w:vAlign w:val="center"/>
            <w:hideMark/>
          </w:tcPr>
          <w:p w14:paraId="21A14F04" w14:textId="77777777" w:rsidR="009A1B1D" w:rsidRPr="00DA0A97" w:rsidRDefault="009A1B1D" w:rsidP="004145A1">
            <w:pPr>
              <w:spacing w:after="0" w:line="240" w:lineRule="auto"/>
              <w:jc w:val="both"/>
              <w:rPr>
                <w:rFonts w:ascii="Calibri" w:eastAsia="Times New Roman" w:hAnsi="Calibri" w:cs="Calibri"/>
                <w:b/>
                <w:bCs/>
                <w:color w:val="000000"/>
                <w:lang w:eastAsia="es-SV"/>
              </w:rPr>
            </w:pPr>
            <w:r w:rsidRPr="00DA0A97">
              <w:rPr>
                <w:rFonts w:ascii="Calibri" w:eastAsia="Times New Roman" w:hAnsi="Calibri" w:cs="Calibri"/>
                <w:b/>
                <w:bCs/>
                <w:color w:val="000000"/>
                <w:lang w:eastAsia="es-SV"/>
              </w:rPr>
              <w:t>Pago de remuneraciones mensuales al personal</w:t>
            </w:r>
          </w:p>
        </w:tc>
      </w:tr>
      <w:tr w:rsidR="009A1B1D" w:rsidRPr="00DA0A97" w14:paraId="6297DF31" w14:textId="77777777" w:rsidTr="009A1B1D">
        <w:trPr>
          <w:trHeight w:val="761"/>
        </w:trPr>
        <w:tc>
          <w:tcPr>
            <w:tcW w:w="557" w:type="dxa"/>
            <w:vMerge/>
            <w:tcBorders>
              <w:top w:val="single" w:sz="4" w:space="0" w:color="757171"/>
              <w:left w:val="single" w:sz="4" w:space="0" w:color="757171"/>
              <w:bottom w:val="single" w:sz="4" w:space="0" w:color="757171"/>
              <w:right w:val="single" w:sz="4" w:space="0" w:color="757171"/>
            </w:tcBorders>
            <w:vAlign w:val="center"/>
            <w:hideMark/>
          </w:tcPr>
          <w:p w14:paraId="5CED2997" w14:textId="77777777" w:rsidR="009A1B1D" w:rsidRPr="00DA0A97" w:rsidRDefault="009A1B1D" w:rsidP="004145A1">
            <w:pPr>
              <w:spacing w:after="0" w:line="240" w:lineRule="auto"/>
              <w:rPr>
                <w:rFonts w:ascii="Calibri" w:eastAsia="Times New Roman" w:hAnsi="Calibri" w:cs="Calibri"/>
                <w:b/>
                <w:bCs/>
                <w:color w:val="000000"/>
                <w:lang w:eastAsia="es-SV"/>
              </w:rPr>
            </w:pPr>
          </w:p>
        </w:tc>
        <w:tc>
          <w:tcPr>
            <w:tcW w:w="8195" w:type="dxa"/>
            <w:tcBorders>
              <w:top w:val="nil"/>
              <w:left w:val="nil"/>
              <w:bottom w:val="single" w:sz="4" w:space="0" w:color="757171"/>
              <w:right w:val="single" w:sz="4" w:space="0" w:color="757171"/>
            </w:tcBorders>
            <w:shd w:val="clear" w:color="auto" w:fill="auto"/>
            <w:vAlign w:val="center"/>
            <w:hideMark/>
          </w:tcPr>
          <w:p w14:paraId="1161737B" w14:textId="77777777" w:rsidR="009A1B1D" w:rsidRPr="00DA0A97" w:rsidRDefault="009A1B1D" w:rsidP="004145A1">
            <w:pPr>
              <w:spacing w:after="0" w:line="240" w:lineRule="auto"/>
              <w:jc w:val="center"/>
              <w:rPr>
                <w:rFonts w:ascii="Calibri" w:eastAsia="Times New Roman" w:hAnsi="Calibri" w:cs="Calibri"/>
                <w:b/>
                <w:bCs/>
                <w:color w:val="000000"/>
                <w:lang w:eastAsia="es-SV"/>
              </w:rPr>
            </w:pPr>
            <w:r w:rsidRPr="00DA0A97">
              <w:rPr>
                <w:rFonts w:ascii="Calibri" w:eastAsia="Times New Roman" w:hAnsi="Calibri" w:cs="Calibri"/>
                <w:b/>
                <w:bCs/>
                <w:color w:val="000000"/>
                <w:lang w:eastAsia="es-SV"/>
              </w:rPr>
              <w:t>Pago de Bienes y Servicios a proveedores de forma mensual, por los diferentes procesos contratados en la Municipalidad y reconocimiento de deuda</w:t>
            </w:r>
          </w:p>
        </w:tc>
      </w:tr>
      <w:tr w:rsidR="009A1B1D" w:rsidRPr="00DA0A97" w14:paraId="5372266F" w14:textId="77777777" w:rsidTr="009A1B1D">
        <w:trPr>
          <w:trHeight w:val="562"/>
        </w:trPr>
        <w:tc>
          <w:tcPr>
            <w:tcW w:w="557" w:type="dxa"/>
            <w:vMerge/>
            <w:tcBorders>
              <w:top w:val="single" w:sz="4" w:space="0" w:color="757171"/>
              <w:left w:val="single" w:sz="4" w:space="0" w:color="757171"/>
              <w:bottom w:val="single" w:sz="4" w:space="0" w:color="757171"/>
              <w:right w:val="single" w:sz="4" w:space="0" w:color="757171"/>
            </w:tcBorders>
            <w:vAlign w:val="center"/>
            <w:hideMark/>
          </w:tcPr>
          <w:p w14:paraId="775A4CC3" w14:textId="77777777" w:rsidR="009A1B1D" w:rsidRPr="00DA0A97" w:rsidRDefault="009A1B1D" w:rsidP="004145A1">
            <w:pPr>
              <w:spacing w:after="0" w:line="240" w:lineRule="auto"/>
              <w:rPr>
                <w:rFonts w:ascii="Calibri" w:eastAsia="Times New Roman" w:hAnsi="Calibri" w:cs="Calibri"/>
                <w:b/>
                <w:bCs/>
                <w:color w:val="000000"/>
                <w:lang w:eastAsia="es-SV"/>
              </w:rPr>
            </w:pPr>
          </w:p>
        </w:tc>
        <w:tc>
          <w:tcPr>
            <w:tcW w:w="8195" w:type="dxa"/>
            <w:tcBorders>
              <w:top w:val="nil"/>
              <w:left w:val="nil"/>
              <w:bottom w:val="single" w:sz="4" w:space="0" w:color="757171"/>
              <w:right w:val="single" w:sz="4" w:space="0" w:color="757171"/>
            </w:tcBorders>
            <w:shd w:val="clear" w:color="auto" w:fill="auto"/>
            <w:vAlign w:val="center"/>
            <w:hideMark/>
          </w:tcPr>
          <w:p w14:paraId="5E3FDF9B" w14:textId="77777777" w:rsidR="009A1B1D" w:rsidRPr="00DA0A97" w:rsidRDefault="009A1B1D" w:rsidP="004145A1">
            <w:pPr>
              <w:spacing w:after="0" w:line="240" w:lineRule="auto"/>
              <w:jc w:val="both"/>
              <w:rPr>
                <w:rFonts w:ascii="Calibri" w:eastAsia="Times New Roman" w:hAnsi="Calibri" w:cs="Calibri"/>
                <w:b/>
                <w:bCs/>
                <w:color w:val="000000"/>
                <w:lang w:eastAsia="es-SV"/>
              </w:rPr>
            </w:pPr>
            <w:r w:rsidRPr="00DA0A97">
              <w:rPr>
                <w:rFonts w:ascii="Calibri" w:eastAsia="Times New Roman" w:hAnsi="Calibri" w:cs="Calibri"/>
                <w:b/>
                <w:bCs/>
                <w:color w:val="000000"/>
                <w:lang w:eastAsia="es-SV"/>
              </w:rPr>
              <w:t>Atención oportuna a los diferentes Entes Fiscalizadores Internos y externos</w:t>
            </w:r>
          </w:p>
        </w:tc>
      </w:tr>
    </w:tbl>
    <w:p w14:paraId="5D394418" w14:textId="77777777" w:rsidR="009A1B1D" w:rsidRDefault="009A1B1D" w:rsidP="009A1B1D">
      <w:pPr>
        <w:tabs>
          <w:tab w:val="left" w:pos="930"/>
        </w:tabs>
        <w:rPr>
          <w:sz w:val="24"/>
          <w:szCs w:val="24"/>
          <w:lang w:val="es-MX"/>
        </w:rPr>
      </w:pPr>
    </w:p>
    <w:p w14:paraId="72D3D579" w14:textId="77777777" w:rsidR="009A1B1D" w:rsidRDefault="009A1B1D" w:rsidP="009A1B1D">
      <w:pPr>
        <w:tabs>
          <w:tab w:val="left" w:pos="930"/>
        </w:tabs>
        <w:rPr>
          <w:sz w:val="24"/>
          <w:szCs w:val="24"/>
          <w:lang w:val="es-MX"/>
        </w:rPr>
      </w:pPr>
    </w:p>
    <w:p w14:paraId="09BA07D3" w14:textId="77777777" w:rsidR="009A1B1D" w:rsidRDefault="009A1B1D" w:rsidP="009A1B1D">
      <w:pPr>
        <w:tabs>
          <w:tab w:val="left" w:pos="930"/>
        </w:tabs>
        <w:rPr>
          <w:sz w:val="24"/>
          <w:szCs w:val="24"/>
          <w:lang w:val="es-MX"/>
        </w:rPr>
      </w:pPr>
    </w:p>
    <w:p w14:paraId="40643A3D" w14:textId="77777777" w:rsidR="009A1B1D" w:rsidRDefault="009A1B1D" w:rsidP="009A1B1D">
      <w:pPr>
        <w:tabs>
          <w:tab w:val="left" w:pos="930"/>
        </w:tabs>
        <w:rPr>
          <w:sz w:val="24"/>
          <w:szCs w:val="24"/>
          <w:lang w:val="es-MX"/>
        </w:rPr>
      </w:pPr>
    </w:p>
    <w:p w14:paraId="0ACB6FF5" w14:textId="77777777" w:rsidR="009A1B1D" w:rsidRDefault="009A1B1D" w:rsidP="009A1B1D">
      <w:pPr>
        <w:tabs>
          <w:tab w:val="left" w:pos="930"/>
        </w:tabs>
        <w:rPr>
          <w:sz w:val="24"/>
          <w:szCs w:val="24"/>
          <w:lang w:val="es-MX"/>
        </w:rPr>
      </w:pPr>
    </w:p>
    <w:tbl>
      <w:tblPr>
        <w:tblW w:w="8784" w:type="dxa"/>
        <w:tblCellMar>
          <w:left w:w="70" w:type="dxa"/>
          <w:right w:w="70" w:type="dxa"/>
        </w:tblCellMar>
        <w:tblLook w:val="04A0" w:firstRow="1" w:lastRow="0" w:firstColumn="1" w:lastColumn="0" w:noHBand="0" w:noVBand="1"/>
      </w:tblPr>
      <w:tblGrid>
        <w:gridCol w:w="800"/>
        <w:gridCol w:w="7984"/>
      </w:tblGrid>
      <w:tr w:rsidR="009A1B1D" w:rsidRPr="00E80CDC" w14:paraId="77B51DFE" w14:textId="77777777" w:rsidTr="004145A1">
        <w:trPr>
          <w:trHeight w:val="288"/>
        </w:trPr>
        <w:tc>
          <w:tcPr>
            <w:tcW w:w="800" w:type="dxa"/>
            <w:vMerge w:val="restart"/>
            <w:tcBorders>
              <w:top w:val="single" w:sz="4" w:space="0" w:color="757171"/>
              <w:left w:val="single" w:sz="4" w:space="0" w:color="757171"/>
              <w:bottom w:val="nil"/>
              <w:right w:val="single" w:sz="4" w:space="0" w:color="757171"/>
            </w:tcBorders>
            <w:shd w:val="clear" w:color="000000" w:fill="66CCFF"/>
            <w:noWrap/>
            <w:textDirection w:val="btLr"/>
            <w:vAlign w:val="center"/>
            <w:hideMark/>
          </w:tcPr>
          <w:p w14:paraId="78F62967" w14:textId="77777777" w:rsidR="009A1B1D" w:rsidRPr="00E80CDC" w:rsidRDefault="009A1B1D" w:rsidP="004145A1">
            <w:pPr>
              <w:spacing w:after="0" w:line="240" w:lineRule="auto"/>
              <w:ind w:left="113" w:right="113"/>
              <w:jc w:val="center"/>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PRESUPUESTO</w:t>
            </w:r>
          </w:p>
        </w:tc>
        <w:tc>
          <w:tcPr>
            <w:tcW w:w="7984" w:type="dxa"/>
            <w:tcBorders>
              <w:top w:val="single" w:sz="4" w:space="0" w:color="757171"/>
              <w:left w:val="nil"/>
              <w:bottom w:val="single" w:sz="4" w:space="0" w:color="757171"/>
              <w:right w:val="single" w:sz="4" w:space="0" w:color="757171"/>
            </w:tcBorders>
            <w:shd w:val="clear" w:color="000000" w:fill="66CCFF"/>
            <w:vAlign w:val="center"/>
            <w:hideMark/>
          </w:tcPr>
          <w:p w14:paraId="169F48B6" w14:textId="77777777" w:rsidR="009A1B1D" w:rsidRPr="00E80CDC" w:rsidRDefault="009A1B1D" w:rsidP="004145A1">
            <w:pPr>
              <w:spacing w:after="0" w:line="240" w:lineRule="auto"/>
              <w:jc w:val="center"/>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Actividades Primarias</w:t>
            </w:r>
          </w:p>
        </w:tc>
      </w:tr>
      <w:tr w:rsidR="009A1B1D" w:rsidRPr="00E80CDC" w14:paraId="60F459A7" w14:textId="77777777" w:rsidTr="004145A1">
        <w:trPr>
          <w:trHeight w:val="744"/>
        </w:trPr>
        <w:tc>
          <w:tcPr>
            <w:tcW w:w="800" w:type="dxa"/>
            <w:vMerge/>
            <w:tcBorders>
              <w:top w:val="single" w:sz="4" w:space="0" w:color="757171"/>
              <w:left w:val="single" w:sz="4" w:space="0" w:color="757171"/>
              <w:bottom w:val="nil"/>
              <w:right w:val="single" w:sz="4" w:space="0" w:color="757171"/>
            </w:tcBorders>
            <w:vAlign w:val="center"/>
            <w:hideMark/>
          </w:tcPr>
          <w:p w14:paraId="7A4C9C18" w14:textId="77777777" w:rsidR="009A1B1D" w:rsidRPr="00E80CDC" w:rsidRDefault="009A1B1D" w:rsidP="004145A1">
            <w:pPr>
              <w:spacing w:after="0" w:line="240" w:lineRule="auto"/>
              <w:rPr>
                <w:rFonts w:ascii="Calibri" w:eastAsia="Times New Roman" w:hAnsi="Calibri" w:cs="Calibri"/>
                <w:b/>
                <w:bCs/>
                <w:color w:val="000000"/>
                <w:lang w:eastAsia="es-SV"/>
              </w:rPr>
            </w:pPr>
          </w:p>
        </w:tc>
        <w:tc>
          <w:tcPr>
            <w:tcW w:w="7984" w:type="dxa"/>
            <w:tcBorders>
              <w:top w:val="nil"/>
              <w:left w:val="nil"/>
              <w:bottom w:val="single" w:sz="4" w:space="0" w:color="757171"/>
              <w:right w:val="single" w:sz="4" w:space="0" w:color="757171"/>
            </w:tcBorders>
            <w:shd w:val="clear" w:color="auto" w:fill="auto"/>
            <w:vAlign w:val="center"/>
            <w:hideMark/>
          </w:tcPr>
          <w:p w14:paraId="680D4A9D" w14:textId="77777777" w:rsidR="009A1B1D" w:rsidRPr="00E80CDC" w:rsidRDefault="009A1B1D" w:rsidP="004145A1">
            <w:pPr>
              <w:spacing w:after="0" w:line="240" w:lineRule="auto"/>
              <w:jc w:val="both"/>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Integración de Proyectos de Presupuesto de Recursos Propios</w:t>
            </w:r>
          </w:p>
        </w:tc>
      </w:tr>
      <w:tr w:rsidR="009A1B1D" w:rsidRPr="00E80CDC" w14:paraId="1870C79E" w14:textId="77777777" w:rsidTr="004145A1">
        <w:trPr>
          <w:trHeight w:val="576"/>
        </w:trPr>
        <w:tc>
          <w:tcPr>
            <w:tcW w:w="800" w:type="dxa"/>
            <w:vMerge/>
            <w:tcBorders>
              <w:top w:val="single" w:sz="4" w:space="0" w:color="757171"/>
              <w:left w:val="single" w:sz="4" w:space="0" w:color="757171"/>
              <w:bottom w:val="nil"/>
              <w:right w:val="single" w:sz="4" w:space="0" w:color="757171"/>
            </w:tcBorders>
            <w:vAlign w:val="center"/>
            <w:hideMark/>
          </w:tcPr>
          <w:p w14:paraId="192035BC" w14:textId="77777777" w:rsidR="009A1B1D" w:rsidRPr="00E80CDC" w:rsidRDefault="009A1B1D" w:rsidP="004145A1">
            <w:pPr>
              <w:spacing w:after="0" w:line="240" w:lineRule="auto"/>
              <w:rPr>
                <w:rFonts w:ascii="Calibri" w:eastAsia="Times New Roman" w:hAnsi="Calibri" w:cs="Calibri"/>
                <w:b/>
                <w:bCs/>
                <w:color w:val="000000"/>
                <w:lang w:eastAsia="es-SV"/>
              </w:rPr>
            </w:pPr>
          </w:p>
        </w:tc>
        <w:tc>
          <w:tcPr>
            <w:tcW w:w="7984" w:type="dxa"/>
            <w:tcBorders>
              <w:top w:val="nil"/>
              <w:left w:val="nil"/>
              <w:bottom w:val="single" w:sz="4" w:space="0" w:color="757171"/>
              <w:right w:val="single" w:sz="4" w:space="0" w:color="757171"/>
            </w:tcBorders>
            <w:shd w:val="clear" w:color="auto" w:fill="auto"/>
            <w:vAlign w:val="center"/>
            <w:hideMark/>
          </w:tcPr>
          <w:p w14:paraId="03BA2D84" w14:textId="77777777" w:rsidR="009A1B1D" w:rsidRPr="00E80CDC" w:rsidRDefault="009A1B1D" w:rsidP="004145A1">
            <w:pPr>
              <w:spacing w:after="0" w:line="240" w:lineRule="auto"/>
              <w:jc w:val="both"/>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 xml:space="preserve">Formulación y Registro de la Programación </w:t>
            </w:r>
            <w:proofErr w:type="spellStart"/>
            <w:r w:rsidRPr="00E80CDC">
              <w:rPr>
                <w:rFonts w:ascii="Calibri" w:eastAsia="Times New Roman" w:hAnsi="Calibri" w:cs="Calibri"/>
                <w:b/>
                <w:bCs/>
                <w:color w:val="000000"/>
                <w:lang w:eastAsia="es-SV"/>
              </w:rPr>
              <w:t>Ejecutaria</w:t>
            </w:r>
            <w:proofErr w:type="spellEnd"/>
            <w:r w:rsidRPr="00E80CDC">
              <w:rPr>
                <w:rFonts w:ascii="Calibri" w:eastAsia="Times New Roman" w:hAnsi="Calibri" w:cs="Calibri"/>
                <w:b/>
                <w:bCs/>
                <w:color w:val="000000"/>
                <w:lang w:eastAsia="es-SV"/>
              </w:rPr>
              <w:t xml:space="preserve"> (PEP) en Aplicación Informática SAFIM</w:t>
            </w:r>
          </w:p>
        </w:tc>
      </w:tr>
      <w:tr w:rsidR="009A1B1D" w:rsidRPr="00E80CDC" w14:paraId="0107BF14" w14:textId="77777777" w:rsidTr="004145A1">
        <w:trPr>
          <w:trHeight w:val="612"/>
        </w:trPr>
        <w:tc>
          <w:tcPr>
            <w:tcW w:w="800" w:type="dxa"/>
            <w:vMerge/>
            <w:tcBorders>
              <w:top w:val="single" w:sz="4" w:space="0" w:color="757171"/>
              <w:left w:val="single" w:sz="4" w:space="0" w:color="757171"/>
              <w:bottom w:val="nil"/>
              <w:right w:val="single" w:sz="4" w:space="0" w:color="757171"/>
            </w:tcBorders>
            <w:vAlign w:val="center"/>
            <w:hideMark/>
          </w:tcPr>
          <w:p w14:paraId="39A6C7C0" w14:textId="77777777" w:rsidR="009A1B1D" w:rsidRPr="00E80CDC" w:rsidRDefault="009A1B1D" w:rsidP="004145A1">
            <w:pPr>
              <w:spacing w:after="0" w:line="240" w:lineRule="auto"/>
              <w:rPr>
                <w:rFonts w:ascii="Calibri" w:eastAsia="Times New Roman" w:hAnsi="Calibri" w:cs="Calibri"/>
                <w:b/>
                <w:bCs/>
                <w:color w:val="000000"/>
                <w:lang w:eastAsia="es-SV"/>
              </w:rPr>
            </w:pPr>
          </w:p>
        </w:tc>
        <w:tc>
          <w:tcPr>
            <w:tcW w:w="7984" w:type="dxa"/>
            <w:tcBorders>
              <w:top w:val="nil"/>
              <w:left w:val="nil"/>
              <w:bottom w:val="single" w:sz="4" w:space="0" w:color="757171"/>
              <w:right w:val="single" w:sz="4" w:space="0" w:color="757171"/>
            </w:tcBorders>
            <w:shd w:val="clear" w:color="auto" w:fill="auto"/>
            <w:vAlign w:val="center"/>
            <w:hideMark/>
          </w:tcPr>
          <w:p w14:paraId="4E49D1F0" w14:textId="77777777" w:rsidR="009A1B1D" w:rsidRPr="00E80CDC" w:rsidRDefault="009A1B1D" w:rsidP="004145A1">
            <w:pPr>
              <w:spacing w:after="0" w:line="240" w:lineRule="auto"/>
              <w:jc w:val="both"/>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Informes mensuales y oportunos de la Ejecución Presupuestaria para la toma de decisiones</w:t>
            </w:r>
          </w:p>
        </w:tc>
      </w:tr>
      <w:tr w:rsidR="009A1B1D" w:rsidRPr="00E80CDC" w14:paraId="09BAD815" w14:textId="77777777" w:rsidTr="004145A1">
        <w:trPr>
          <w:trHeight w:val="1008"/>
        </w:trPr>
        <w:tc>
          <w:tcPr>
            <w:tcW w:w="800" w:type="dxa"/>
            <w:vMerge/>
            <w:tcBorders>
              <w:top w:val="single" w:sz="4" w:space="0" w:color="757171"/>
              <w:left w:val="single" w:sz="4" w:space="0" w:color="757171"/>
              <w:bottom w:val="nil"/>
              <w:right w:val="single" w:sz="4" w:space="0" w:color="757171"/>
            </w:tcBorders>
            <w:vAlign w:val="center"/>
            <w:hideMark/>
          </w:tcPr>
          <w:p w14:paraId="213A2268" w14:textId="77777777" w:rsidR="009A1B1D" w:rsidRPr="00E80CDC" w:rsidRDefault="009A1B1D" w:rsidP="004145A1">
            <w:pPr>
              <w:spacing w:after="0" w:line="240" w:lineRule="auto"/>
              <w:rPr>
                <w:rFonts w:ascii="Calibri" w:eastAsia="Times New Roman" w:hAnsi="Calibri" w:cs="Calibri"/>
                <w:b/>
                <w:bCs/>
                <w:color w:val="000000"/>
                <w:lang w:eastAsia="es-SV"/>
              </w:rPr>
            </w:pPr>
          </w:p>
        </w:tc>
        <w:tc>
          <w:tcPr>
            <w:tcW w:w="7984" w:type="dxa"/>
            <w:tcBorders>
              <w:top w:val="nil"/>
              <w:left w:val="nil"/>
              <w:bottom w:val="single" w:sz="4" w:space="0" w:color="757171"/>
              <w:right w:val="single" w:sz="4" w:space="0" w:color="757171"/>
            </w:tcBorders>
            <w:shd w:val="clear" w:color="auto" w:fill="auto"/>
            <w:vAlign w:val="center"/>
            <w:hideMark/>
          </w:tcPr>
          <w:p w14:paraId="4E46B5D7" w14:textId="77777777" w:rsidR="009A1B1D" w:rsidRPr="00E80CDC" w:rsidRDefault="009A1B1D" w:rsidP="004145A1">
            <w:pPr>
              <w:spacing w:after="0" w:line="240" w:lineRule="auto"/>
              <w:jc w:val="both"/>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Elaboración y registro de Justificantes de pago en Sistema SAFIM, de todas las operaciones financieras de la Municipalidad.</w:t>
            </w:r>
          </w:p>
        </w:tc>
      </w:tr>
      <w:tr w:rsidR="009A1B1D" w:rsidRPr="00E80CDC" w14:paraId="1BDEAB46" w14:textId="77777777" w:rsidTr="004145A1">
        <w:trPr>
          <w:trHeight w:val="780"/>
        </w:trPr>
        <w:tc>
          <w:tcPr>
            <w:tcW w:w="800" w:type="dxa"/>
            <w:vMerge/>
            <w:tcBorders>
              <w:top w:val="single" w:sz="4" w:space="0" w:color="757171"/>
              <w:left w:val="single" w:sz="4" w:space="0" w:color="757171"/>
              <w:bottom w:val="nil"/>
              <w:right w:val="single" w:sz="4" w:space="0" w:color="757171"/>
            </w:tcBorders>
            <w:vAlign w:val="center"/>
            <w:hideMark/>
          </w:tcPr>
          <w:p w14:paraId="600046B0" w14:textId="77777777" w:rsidR="009A1B1D" w:rsidRPr="00E80CDC" w:rsidRDefault="009A1B1D" w:rsidP="004145A1">
            <w:pPr>
              <w:spacing w:after="0" w:line="240" w:lineRule="auto"/>
              <w:rPr>
                <w:rFonts w:ascii="Calibri" w:eastAsia="Times New Roman" w:hAnsi="Calibri" w:cs="Calibri"/>
                <w:b/>
                <w:bCs/>
                <w:color w:val="000000"/>
                <w:lang w:eastAsia="es-SV"/>
              </w:rPr>
            </w:pPr>
          </w:p>
        </w:tc>
        <w:tc>
          <w:tcPr>
            <w:tcW w:w="7984" w:type="dxa"/>
            <w:tcBorders>
              <w:top w:val="nil"/>
              <w:left w:val="nil"/>
              <w:bottom w:val="single" w:sz="4" w:space="0" w:color="757171"/>
              <w:right w:val="single" w:sz="4" w:space="0" w:color="757171"/>
            </w:tcBorders>
            <w:shd w:val="clear" w:color="auto" w:fill="auto"/>
            <w:vAlign w:val="center"/>
            <w:hideMark/>
          </w:tcPr>
          <w:p w14:paraId="05A4BC76" w14:textId="77777777" w:rsidR="009A1B1D" w:rsidRPr="00E80CDC" w:rsidRDefault="009A1B1D" w:rsidP="004145A1">
            <w:pPr>
              <w:spacing w:after="0" w:line="240" w:lineRule="auto"/>
              <w:jc w:val="both"/>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Atención oportuna a los diferentes Entes Fiscalizadores Internos y externos</w:t>
            </w:r>
          </w:p>
        </w:tc>
      </w:tr>
    </w:tbl>
    <w:p w14:paraId="485D5CF1" w14:textId="77777777" w:rsidR="009A1B1D" w:rsidRDefault="009A1B1D" w:rsidP="009A1B1D">
      <w:pPr>
        <w:tabs>
          <w:tab w:val="left" w:pos="930"/>
        </w:tabs>
        <w:rPr>
          <w:sz w:val="24"/>
          <w:szCs w:val="24"/>
        </w:rPr>
      </w:pPr>
    </w:p>
    <w:tbl>
      <w:tblPr>
        <w:tblW w:w="8784" w:type="dxa"/>
        <w:tblCellMar>
          <w:left w:w="70" w:type="dxa"/>
          <w:right w:w="70" w:type="dxa"/>
        </w:tblCellMar>
        <w:tblLook w:val="04A0" w:firstRow="1" w:lastRow="0" w:firstColumn="1" w:lastColumn="0" w:noHBand="0" w:noVBand="1"/>
      </w:tblPr>
      <w:tblGrid>
        <w:gridCol w:w="920"/>
        <w:gridCol w:w="7864"/>
      </w:tblGrid>
      <w:tr w:rsidR="009A1B1D" w:rsidRPr="00E80CDC" w14:paraId="20838E6A" w14:textId="77777777" w:rsidTr="004145A1">
        <w:trPr>
          <w:trHeight w:val="288"/>
        </w:trPr>
        <w:tc>
          <w:tcPr>
            <w:tcW w:w="920" w:type="dxa"/>
            <w:vMerge w:val="restart"/>
            <w:tcBorders>
              <w:top w:val="single" w:sz="4" w:space="0" w:color="757171"/>
              <w:left w:val="single" w:sz="4" w:space="0" w:color="757171"/>
              <w:bottom w:val="nil"/>
              <w:right w:val="single" w:sz="4" w:space="0" w:color="757171"/>
            </w:tcBorders>
            <w:shd w:val="clear" w:color="000000" w:fill="66CCFF"/>
            <w:noWrap/>
            <w:textDirection w:val="btLr"/>
            <w:vAlign w:val="center"/>
            <w:hideMark/>
          </w:tcPr>
          <w:p w14:paraId="40C37273" w14:textId="77777777" w:rsidR="009A1B1D" w:rsidRPr="00E80CDC" w:rsidRDefault="009A1B1D" w:rsidP="004145A1">
            <w:pPr>
              <w:spacing w:after="0" w:line="240" w:lineRule="auto"/>
              <w:ind w:left="113" w:right="113"/>
              <w:jc w:val="center"/>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CONTABILIDAD</w:t>
            </w:r>
          </w:p>
        </w:tc>
        <w:tc>
          <w:tcPr>
            <w:tcW w:w="7864" w:type="dxa"/>
            <w:tcBorders>
              <w:top w:val="single" w:sz="4" w:space="0" w:color="757171"/>
              <w:left w:val="nil"/>
              <w:bottom w:val="single" w:sz="4" w:space="0" w:color="757171"/>
              <w:right w:val="single" w:sz="4" w:space="0" w:color="757171"/>
            </w:tcBorders>
            <w:shd w:val="clear" w:color="000000" w:fill="66CCFF"/>
            <w:vAlign w:val="center"/>
            <w:hideMark/>
          </w:tcPr>
          <w:p w14:paraId="250A8B02" w14:textId="77777777" w:rsidR="009A1B1D" w:rsidRPr="00E80CDC" w:rsidRDefault="009A1B1D" w:rsidP="004145A1">
            <w:pPr>
              <w:spacing w:after="0" w:line="240" w:lineRule="auto"/>
              <w:jc w:val="center"/>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Actividades Primarias</w:t>
            </w:r>
          </w:p>
        </w:tc>
      </w:tr>
      <w:tr w:rsidR="009A1B1D" w:rsidRPr="00E80CDC" w14:paraId="197EF0C8" w14:textId="77777777" w:rsidTr="004145A1">
        <w:trPr>
          <w:trHeight w:val="576"/>
        </w:trPr>
        <w:tc>
          <w:tcPr>
            <w:tcW w:w="920" w:type="dxa"/>
            <w:vMerge/>
            <w:tcBorders>
              <w:top w:val="single" w:sz="4" w:space="0" w:color="757171"/>
              <w:left w:val="single" w:sz="4" w:space="0" w:color="757171"/>
              <w:bottom w:val="nil"/>
              <w:right w:val="single" w:sz="4" w:space="0" w:color="757171"/>
            </w:tcBorders>
            <w:vAlign w:val="center"/>
            <w:hideMark/>
          </w:tcPr>
          <w:p w14:paraId="71FB454E" w14:textId="77777777" w:rsidR="009A1B1D" w:rsidRPr="00E80CDC" w:rsidRDefault="009A1B1D" w:rsidP="004145A1">
            <w:pPr>
              <w:spacing w:after="0" w:line="240" w:lineRule="auto"/>
              <w:rPr>
                <w:rFonts w:ascii="Calibri" w:eastAsia="Times New Roman" w:hAnsi="Calibri" w:cs="Calibri"/>
                <w:b/>
                <w:bCs/>
                <w:color w:val="000000"/>
                <w:lang w:eastAsia="es-SV"/>
              </w:rPr>
            </w:pPr>
          </w:p>
        </w:tc>
        <w:tc>
          <w:tcPr>
            <w:tcW w:w="7864" w:type="dxa"/>
            <w:tcBorders>
              <w:top w:val="nil"/>
              <w:left w:val="nil"/>
              <w:bottom w:val="single" w:sz="4" w:space="0" w:color="757171"/>
              <w:right w:val="single" w:sz="4" w:space="0" w:color="757171"/>
            </w:tcBorders>
            <w:shd w:val="clear" w:color="auto" w:fill="auto"/>
            <w:vAlign w:val="center"/>
            <w:hideMark/>
          </w:tcPr>
          <w:p w14:paraId="4F9EC882" w14:textId="77777777" w:rsidR="009A1B1D" w:rsidRPr="00E80CDC" w:rsidRDefault="009A1B1D" w:rsidP="004145A1">
            <w:pPr>
              <w:spacing w:after="0" w:line="240" w:lineRule="auto"/>
              <w:jc w:val="both"/>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Registro de todos los hechos económicos en SAFIM.</w:t>
            </w:r>
          </w:p>
        </w:tc>
      </w:tr>
      <w:tr w:rsidR="009A1B1D" w:rsidRPr="00E80CDC" w14:paraId="4F7D13AE" w14:textId="77777777" w:rsidTr="004145A1">
        <w:trPr>
          <w:trHeight w:val="590"/>
        </w:trPr>
        <w:tc>
          <w:tcPr>
            <w:tcW w:w="920" w:type="dxa"/>
            <w:vMerge/>
            <w:tcBorders>
              <w:top w:val="single" w:sz="4" w:space="0" w:color="757171"/>
              <w:left w:val="single" w:sz="4" w:space="0" w:color="757171"/>
              <w:bottom w:val="nil"/>
              <w:right w:val="single" w:sz="4" w:space="0" w:color="757171"/>
            </w:tcBorders>
            <w:vAlign w:val="center"/>
            <w:hideMark/>
          </w:tcPr>
          <w:p w14:paraId="35E7DC0F" w14:textId="77777777" w:rsidR="009A1B1D" w:rsidRPr="00E80CDC" w:rsidRDefault="009A1B1D" w:rsidP="004145A1">
            <w:pPr>
              <w:spacing w:after="0" w:line="240" w:lineRule="auto"/>
              <w:rPr>
                <w:rFonts w:ascii="Calibri" w:eastAsia="Times New Roman" w:hAnsi="Calibri" w:cs="Calibri"/>
                <w:b/>
                <w:bCs/>
                <w:color w:val="000000"/>
                <w:lang w:eastAsia="es-SV"/>
              </w:rPr>
            </w:pPr>
          </w:p>
        </w:tc>
        <w:tc>
          <w:tcPr>
            <w:tcW w:w="7864" w:type="dxa"/>
            <w:tcBorders>
              <w:top w:val="nil"/>
              <w:left w:val="nil"/>
              <w:bottom w:val="single" w:sz="4" w:space="0" w:color="757171"/>
              <w:right w:val="single" w:sz="4" w:space="0" w:color="757171"/>
            </w:tcBorders>
            <w:shd w:val="clear" w:color="auto" w:fill="auto"/>
            <w:vAlign w:val="center"/>
            <w:hideMark/>
          </w:tcPr>
          <w:p w14:paraId="1AF1F628" w14:textId="77777777" w:rsidR="009A1B1D" w:rsidRPr="00E80CDC" w:rsidRDefault="009A1B1D" w:rsidP="004145A1">
            <w:pPr>
              <w:spacing w:after="0" w:line="240" w:lineRule="auto"/>
              <w:jc w:val="both"/>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Validación de información Contable para ser registrada en SAFIM</w:t>
            </w:r>
          </w:p>
        </w:tc>
      </w:tr>
      <w:tr w:rsidR="009A1B1D" w:rsidRPr="00E80CDC" w14:paraId="03617594" w14:textId="77777777" w:rsidTr="004145A1">
        <w:trPr>
          <w:trHeight w:val="847"/>
        </w:trPr>
        <w:tc>
          <w:tcPr>
            <w:tcW w:w="920" w:type="dxa"/>
            <w:vMerge/>
            <w:tcBorders>
              <w:top w:val="single" w:sz="4" w:space="0" w:color="757171"/>
              <w:left w:val="single" w:sz="4" w:space="0" w:color="757171"/>
              <w:bottom w:val="nil"/>
              <w:right w:val="single" w:sz="4" w:space="0" w:color="757171"/>
            </w:tcBorders>
            <w:vAlign w:val="center"/>
            <w:hideMark/>
          </w:tcPr>
          <w:p w14:paraId="0C68C811" w14:textId="77777777" w:rsidR="009A1B1D" w:rsidRPr="00E80CDC" w:rsidRDefault="009A1B1D" w:rsidP="004145A1">
            <w:pPr>
              <w:spacing w:after="0" w:line="240" w:lineRule="auto"/>
              <w:rPr>
                <w:rFonts w:ascii="Calibri" w:eastAsia="Times New Roman" w:hAnsi="Calibri" w:cs="Calibri"/>
                <w:b/>
                <w:bCs/>
                <w:color w:val="000000"/>
                <w:lang w:eastAsia="es-SV"/>
              </w:rPr>
            </w:pPr>
          </w:p>
        </w:tc>
        <w:tc>
          <w:tcPr>
            <w:tcW w:w="7864" w:type="dxa"/>
            <w:tcBorders>
              <w:top w:val="nil"/>
              <w:left w:val="nil"/>
              <w:bottom w:val="single" w:sz="4" w:space="0" w:color="757171"/>
              <w:right w:val="single" w:sz="4" w:space="0" w:color="757171"/>
            </w:tcBorders>
            <w:shd w:val="clear" w:color="auto" w:fill="auto"/>
            <w:vAlign w:val="center"/>
            <w:hideMark/>
          </w:tcPr>
          <w:p w14:paraId="2ACFDD17" w14:textId="77777777" w:rsidR="009A1B1D" w:rsidRPr="00E80CDC" w:rsidRDefault="009A1B1D" w:rsidP="004145A1">
            <w:pPr>
              <w:spacing w:after="0" w:line="240" w:lineRule="auto"/>
              <w:jc w:val="both"/>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 xml:space="preserve">Emisión y presentación de Estados Financieros Institucionales a Dirección General de Contabilidad Gubernamental. </w:t>
            </w:r>
          </w:p>
        </w:tc>
      </w:tr>
      <w:tr w:rsidR="009A1B1D" w:rsidRPr="00E80CDC" w14:paraId="040E0003" w14:textId="77777777" w:rsidTr="004145A1">
        <w:trPr>
          <w:trHeight w:val="553"/>
        </w:trPr>
        <w:tc>
          <w:tcPr>
            <w:tcW w:w="920" w:type="dxa"/>
            <w:vMerge/>
            <w:tcBorders>
              <w:top w:val="single" w:sz="4" w:space="0" w:color="757171"/>
              <w:left w:val="single" w:sz="4" w:space="0" w:color="757171"/>
              <w:bottom w:val="nil"/>
              <w:right w:val="single" w:sz="4" w:space="0" w:color="757171"/>
            </w:tcBorders>
            <w:vAlign w:val="center"/>
            <w:hideMark/>
          </w:tcPr>
          <w:p w14:paraId="4CE86769" w14:textId="77777777" w:rsidR="009A1B1D" w:rsidRPr="00E80CDC" w:rsidRDefault="009A1B1D" w:rsidP="004145A1">
            <w:pPr>
              <w:spacing w:after="0" w:line="240" w:lineRule="auto"/>
              <w:rPr>
                <w:rFonts w:ascii="Calibri" w:eastAsia="Times New Roman" w:hAnsi="Calibri" w:cs="Calibri"/>
                <w:b/>
                <w:bCs/>
                <w:color w:val="000000"/>
                <w:lang w:eastAsia="es-SV"/>
              </w:rPr>
            </w:pPr>
          </w:p>
        </w:tc>
        <w:tc>
          <w:tcPr>
            <w:tcW w:w="7864" w:type="dxa"/>
            <w:tcBorders>
              <w:top w:val="nil"/>
              <w:left w:val="nil"/>
              <w:bottom w:val="single" w:sz="4" w:space="0" w:color="757171"/>
              <w:right w:val="single" w:sz="4" w:space="0" w:color="757171"/>
            </w:tcBorders>
            <w:shd w:val="clear" w:color="auto" w:fill="auto"/>
            <w:vAlign w:val="center"/>
            <w:hideMark/>
          </w:tcPr>
          <w:p w14:paraId="0AD40D46" w14:textId="77777777" w:rsidR="009A1B1D" w:rsidRPr="00E80CDC" w:rsidRDefault="009A1B1D" w:rsidP="004145A1">
            <w:pPr>
              <w:spacing w:after="0" w:line="240" w:lineRule="auto"/>
              <w:jc w:val="both"/>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 xml:space="preserve">Emisión y presentación de Estados Financieros Institucionales para la toma de decisiones </w:t>
            </w:r>
          </w:p>
        </w:tc>
      </w:tr>
      <w:tr w:rsidR="009A1B1D" w:rsidRPr="00E80CDC" w14:paraId="405878F3" w14:textId="77777777" w:rsidTr="004145A1">
        <w:trPr>
          <w:trHeight w:val="439"/>
        </w:trPr>
        <w:tc>
          <w:tcPr>
            <w:tcW w:w="920" w:type="dxa"/>
            <w:vMerge/>
            <w:tcBorders>
              <w:top w:val="single" w:sz="4" w:space="0" w:color="757171"/>
              <w:left w:val="single" w:sz="4" w:space="0" w:color="757171"/>
              <w:bottom w:val="nil"/>
              <w:right w:val="single" w:sz="4" w:space="0" w:color="757171"/>
            </w:tcBorders>
            <w:vAlign w:val="center"/>
            <w:hideMark/>
          </w:tcPr>
          <w:p w14:paraId="282334CE" w14:textId="77777777" w:rsidR="009A1B1D" w:rsidRPr="00E80CDC" w:rsidRDefault="009A1B1D" w:rsidP="004145A1">
            <w:pPr>
              <w:spacing w:after="0" w:line="240" w:lineRule="auto"/>
              <w:rPr>
                <w:rFonts w:ascii="Calibri" w:eastAsia="Times New Roman" w:hAnsi="Calibri" w:cs="Calibri"/>
                <w:b/>
                <w:bCs/>
                <w:color w:val="000000"/>
                <w:lang w:eastAsia="es-SV"/>
              </w:rPr>
            </w:pPr>
          </w:p>
        </w:tc>
        <w:tc>
          <w:tcPr>
            <w:tcW w:w="7864" w:type="dxa"/>
            <w:tcBorders>
              <w:top w:val="nil"/>
              <w:left w:val="nil"/>
              <w:bottom w:val="single" w:sz="4" w:space="0" w:color="757171"/>
              <w:right w:val="single" w:sz="4" w:space="0" w:color="757171"/>
            </w:tcBorders>
            <w:shd w:val="clear" w:color="auto" w:fill="auto"/>
            <w:vAlign w:val="center"/>
            <w:hideMark/>
          </w:tcPr>
          <w:p w14:paraId="69AD81C6" w14:textId="77777777" w:rsidR="009A1B1D" w:rsidRPr="00E80CDC" w:rsidRDefault="009A1B1D" w:rsidP="004145A1">
            <w:pPr>
              <w:spacing w:after="0" w:line="240" w:lineRule="auto"/>
              <w:jc w:val="both"/>
              <w:rPr>
                <w:rFonts w:ascii="Calibri" w:eastAsia="Times New Roman" w:hAnsi="Calibri" w:cs="Calibri"/>
                <w:b/>
                <w:bCs/>
                <w:color w:val="000000"/>
                <w:lang w:eastAsia="es-SV"/>
              </w:rPr>
            </w:pPr>
            <w:r w:rsidRPr="00E80CDC">
              <w:rPr>
                <w:rFonts w:ascii="Calibri" w:eastAsia="Times New Roman" w:hAnsi="Calibri" w:cs="Calibri"/>
                <w:b/>
                <w:bCs/>
                <w:color w:val="000000"/>
                <w:lang w:eastAsia="es-SV"/>
              </w:rPr>
              <w:t>Atención oportuna a los diferentes Entes Fiscalizadores Internos y externos</w:t>
            </w:r>
          </w:p>
        </w:tc>
      </w:tr>
    </w:tbl>
    <w:p w14:paraId="1D24CAF6" w14:textId="77777777" w:rsidR="009A1B1D" w:rsidRPr="00E80CDC" w:rsidRDefault="009A1B1D" w:rsidP="009A1B1D">
      <w:pPr>
        <w:tabs>
          <w:tab w:val="left" w:pos="930"/>
        </w:tabs>
        <w:rPr>
          <w:sz w:val="24"/>
          <w:szCs w:val="24"/>
        </w:rPr>
      </w:pPr>
    </w:p>
    <w:p w14:paraId="7E3ED123" w14:textId="77777777" w:rsidR="007F6B8B" w:rsidRDefault="007F6B8B">
      <w:pPr>
        <w:tabs>
          <w:tab w:val="left" w:pos="1960"/>
          <w:tab w:val="left" w:pos="2470"/>
          <w:tab w:val="center" w:pos="5103"/>
        </w:tabs>
        <w:rPr>
          <w:rFonts w:ascii="Segoe UI Symbol" w:hAnsi="Segoe UI Symbol"/>
          <w:sz w:val="23"/>
          <w:szCs w:val="23"/>
        </w:rPr>
      </w:pPr>
    </w:p>
    <w:sectPr w:rsidR="007F6B8B">
      <w:headerReference w:type="default" r:id="rId9"/>
      <w:footerReference w:type="default" r:id="rId10"/>
      <w:headerReference w:type="first" r:id="rId11"/>
      <w:footerReference w:type="firs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F787" w14:textId="77777777" w:rsidR="006A058F" w:rsidRDefault="006A058F">
      <w:pPr>
        <w:spacing w:line="240" w:lineRule="auto"/>
      </w:pPr>
      <w:r>
        <w:separator/>
      </w:r>
    </w:p>
  </w:endnote>
  <w:endnote w:type="continuationSeparator" w:id="0">
    <w:p w14:paraId="4BF5F362" w14:textId="77777777" w:rsidR="006A058F" w:rsidRDefault="006A0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784A" w14:textId="77777777" w:rsidR="00A83EA3" w:rsidRDefault="00514268">
    <w:pPr>
      <w:pStyle w:val="Piedepgina"/>
      <w:jc w:val="center"/>
      <w:rPr>
        <w:sz w:val="20"/>
        <w:szCs w:val="20"/>
      </w:rPr>
    </w:pPr>
    <w:r>
      <w:rPr>
        <w:rFonts w:ascii="Montserrat" w:hAnsi="Montserrat"/>
        <w:szCs w:val="20"/>
        <w:lang w:val="es-ES"/>
      </w:rPr>
      <w:t>2° Calle Poniente y, 2a Avenida Sur, #2, Distrito Apopa, San Salvador Oeste      Tel. 2536-6200.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2C60" w14:textId="77777777" w:rsidR="00A83EA3" w:rsidRDefault="00514268">
    <w:pPr>
      <w:pStyle w:val="Piedepgina"/>
      <w:jc w:val="center"/>
      <w:rPr>
        <w:rFonts w:ascii="Montserrat" w:hAnsi="Montserrat"/>
        <w:sz w:val="24"/>
      </w:rPr>
    </w:pPr>
    <w:r>
      <w:rPr>
        <w:rFonts w:ascii="Montserrat" w:hAnsi="Montserrat"/>
        <w:sz w:val="24"/>
        <w:lang w:val="es-ES"/>
      </w:rPr>
      <w:t>2° Calle Poniente y, 2a Avenida Sur, #2, Distrito Apopa, San Salvador Oeste Tel. 2536-6200.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5CC8" w14:textId="77777777" w:rsidR="006A058F" w:rsidRDefault="006A058F">
      <w:pPr>
        <w:spacing w:after="0"/>
      </w:pPr>
      <w:r>
        <w:separator/>
      </w:r>
    </w:p>
  </w:footnote>
  <w:footnote w:type="continuationSeparator" w:id="0">
    <w:p w14:paraId="05ABC57D" w14:textId="77777777" w:rsidR="006A058F" w:rsidRDefault="006A05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9A86" w14:textId="77777777" w:rsidR="00A83EA3" w:rsidRDefault="00514268">
    <w:pPr>
      <w:pStyle w:val="Encabezado"/>
      <w:tabs>
        <w:tab w:val="clear" w:pos="4419"/>
        <w:tab w:val="clear" w:pos="8838"/>
        <w:tab w:val="left" w:pos="2505"/>
        <w:tab w:val="left" w:pos="4785"/>
        <w:tab w:val="center" w:pos="5400"/>
      </w:tabs>
    </w:pPr>
    <w:r>
      <w:rPr>
        <w:noProof/>
        <w:lang w:eastAsia="es-SV"/>
      </w:rPr>
      <w:drawing>
        <wp:anchor distT="0" distB="0" distL="114300" distR="114300" simplePos="0" relativeHeight="251659264" behindDoc="1" locked="0" layoutInCell="1" allowOverlap="1" wp14:anchorId="25CAD4C8" wp14:editId="7151BBBE">
          <wp:simplePos x="0" y="0"/>
          <wp:positionH relativeFrom="margin">
            <wp:posOffset>-406400</wp:posOffset>
          </wp:positionH>
          <wp:positionV relativeFrom="paragraph">
            <wp:posOffset>-400685</wp:posOffset>
          </wp:positionV>
          <wp:extent cx="6856730" cy="1182370"/>
          <wp:effectExtent l="0" t="0" r="1905" b="0"/>
          <wp:wrapNone/>
          <wp:docPr id="2117927268" name="Imagen 2117927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27268" name="Imagen 211792726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6539" cy="1182368"/>
                  </a:xfrm>
                  <a:prstGeom prst="rect">
                    <a:avLst/>
                  </a:prstGeom>
                  <a:noFill/>
                  <a:ln>
                    <a:noFill/>
                  </a:ln>
                </pic:spPr>
              </pic:pic>
            </a:graphicData>
          </a:graphic>
        </wp:anchor>
      </w:drawing>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609C" w14:textId="77777777" w:rsidR="00A83EA3" w:rsidRDefault="00514268">
    <w:pPr>
      <w:pStyle w:val="Encabezado"/>
      <w:jc w:val="center"/>
    </w:pPr>
    <w:r>
      <w:rPr>
        <w:noProof/>
        <w:lang w:eastAsia="es-SV"/>
      </w:rPr>
      <w:drawing>
        <wp:inline distT="0" distB="0" distL="0" distR="0" wp14:anchorId="679C65FA" wp14:editId="76010EB2">
          <wp:extent cx="6854190" cy="1184910"/>
          <wp:effectExtent l="0" t="0" r="381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854190" cy="1184910"/>
                  </a:xfrm>
                  <a:prstGeom prst="rect">
                    <a:avLst/>
                  </a:prstGeom>
                  <a:noFill/>
                  <a:ln>
                    <a:noFill/>
                  </a:ln>
                </pic:spPr>
              </pic:pic>
            </a:graphicData>
          </a:graphic>
        </wp:inline>
      </w:drawing>
    </w:r>
  </w:p>
  <w:p w14:paraId="5E40E2EA" w14:textId="77777777" w:rsidR="00A83EA3" w:rsidRDefault="00A83EA3">
    <w:pPr>
      <w:pStyle w:val="Encabezado"/>
      <w:jc w:val="center"/>
    </w:pPr>
  </w:p>
  <w:p w14:paraId="7A4E0538" w14:textId="77777777" w:rsidR="00A83EA3" w:rsidRDefault="00A83EA3">
    <w:pPr>
      <w:pStyle w:val="Encabezado"/>
    </w:pPr>
  </w:p>
  <w:p w14:paraId="1E2B29DC" w14:textId="77777777" w:rsidR="00A83EA3" w:rsidRDefault="00A83EA3">
    <w:pPr>
      <w:pStyle w:val="Encabezado"/>
    </w:pPr>
  </w:p>
  <w:p w14:paraId="78F1A1C7" w14:textId="77777777" w:rsidR="00A83EA3" w:rsidRDefault="00A83EA3">
    <w:pPr>
      <w:pStyle w:val="Encabezado"/>
    </w:pPr>
  </w:p>
  <w:p w14:paraId="68D84CB9" w14:textId="77777777" w:rsidR="00A83EA3" w:rsidRDefault="00A83E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C2"/>
    <w:rsid w:val="000019DB"/>
    <w:rsid w:val="000023DA"/>
    <w:rsid w:val="00013AB1"/>
    <w:rsid w:val="000205ED"/>
    <w:rsid w:val="00026051"/>
    <w:rsid w:val="00032D68"/>
    <w:rsid w:val="0003345B"/>
    <w:rsid w:val="00033996"/>
    <w:rsid w:val="000342B8"/>
    <w:rsid w:val="000354D1"/>
    <w:rsid w:val="000407BE"/>
    <w:rsid w:val="00042C7F"/>
    <w:rsid w:val="000452E1"/>
    <w:rsid w:val="000502AC"/>
    <w:rsid w:val="0005139C"/>
    <w:rsid w:val="0005254C"/>
    <w:rsid w:val="000537C2"/>
    <w:rsid w:val="0005733A"/>
    <w:rsid w:val="00057649"/>
    <w:rsid w:val="00065354"/>
    <w:rsid w:val="00065E74"/>
    <w:rsid w:val="0006723F"/>
    <w:rsid w:val="00070749"/>
    <w:rsid w:val="000712A3"/>
    <w:rsid w:val="00074FEE"/>
    <w:rsid w:val="000775A2"/>
    <w:rsid w:val="0007790B"/>
    <w:rsid w:val="00077FF6"/>
    <w:rsid w:val="00090A2F"/>
    <w:rsid w:val="000926F2"/>
    <w:rsid w:val="00093A67"/>
    <w:rsid w:val="00097E1A"/>
    <w:rsid w:val="000A43E8"/>
    <w:rsid w:val="000A5C26"/>
    <w:rsid w:val="000A6E03"/>
    <w:rsid w:val="000A748A"/>
    <w:rsid w:val="000B0519"/>
    <w:rsid w:val="000B6850"/>
    <w:rsid w:val="000B6FD9"/>
    <w:rsid w:val="000B7F30"/>
    <w:rsid w:val="000C2213"/>
    <w:rsid w:val="000C6EB9"/>
    <w:rsid w:val="000D01A0"/>
    <w:rsid w:val="000D23B8"/>
    <w:rsid w:val="000D6DD4"/>
    <w:rsid w:val="000E0DA7"/>
    <w:rsid w:val="000E5446"/>
    <w:rsid w:val="000E635D"/>
    <w:rsid w:val="000E7975"/>
    <w:rsid w:val="000F1443"/>
    <w:rsid w:val="000F2E5B"/>
    <w:rsid w:val="000F658C"/>
    <w:rsid w:val="000F7307"/>
    <w:rsid w:val="00100E4B"/>
    <w:rsid w:val="001012E3"/>
    <w:rsid w:val="001014EE"/>
    <w:rsid w:val="001063D0"/>
    <w:rsid w:val="00107498"/>
    <w:rsid w:val="00107A30"/>
    <w:rsid w:val="00110457"/>
    <w:rsid w:val="00111D3E"/>
    <w:rsid w:val="0011258E"/>
    <w:rsid w:val="0012203E"/>
    <w:rsid w:val="00124DDB"/>
    <w:rsid w:val="00125413"/>
    <w:rsid w:val="0012632F"/>
    <w:rsid w:val="00130AE5"/>
    <w:rsid w:val="001315C1"/>
    <w:rsid w:val="001326CB"/>
    <w:rsid w:val="00133B45"/>
    <w:rsid w:val="00133E2D"/>
    <w:rsid w:val="00143022"/>
    <w:rsid w:val="00144C2A"/>
    <w:rsid w:val="00145776"/>
    <w:rsid w:val="00147853"/>
    <w:rsid w:val="00150725"/>
    <w:rsid w:val="00153087"/>
    <w:rsid w:val="00161B4D"/>
    <w:rsid w:val="00161FDD"/>
    <w:rsid w:val="00164AEE"/>
    <w:rsid w:val="0017089C"/>
    <w:rsid w:val="00171371"/>
    <w:rsid w:val="00171FF7"/>
    <w:rsid w:val="00172FFF"/>
    <w:rsid w:val="00174EC4"/>
    <w:rsid w:val="001801A0"/>
    <w:rsid w:val="00182C65"/>
    <w:rsid w:val="0018349C"/>
    <w:rsid w:val="001843C0"/>
    <w:rsid w:val="00185AD4"/>
    <w:rsid w:val="00191AC2"/>
    <w:rsid w:val="00191E60"/>
    <w:rsid w:val="001930DE"/>
    <w:rsid w:val="001966F8"/>
    <w:rsid w:val="001A5E84"/>
    <w:rsid w:val="001A71E9"/>
    <w:rsid w:val="001B59B9"/>
    <w:rsid w:val="001B6F0A"/>
    <w:rsid w:val="001B7EC8"/>
    <w:rsid w:val="001C6931"/>
    <w:rsid w:val="001D0296"/>
    <w:rsid w:val="001D303A"/>
    <w:rsid w:val="001D5BFF"/>
    <w:rsid w:val="001D6181"/>
    <w:rsid w:val="001D6F47"/>
    <w:rsid w:val="001D7D87"/>
    <w:rsid w:val="001E1F34"/>
    <w:rsid w:val="001E60D0"/>
    <w:rsid w:val="001E6C2E"/>
    <w:rsid w:val="001E7BEC"/>
    <w:rsid w:val="001F5AC7"/>
    <w:rsid w:val="001F79C5"/>
    <w:rsid w:val="0020240C"/>
    <w:rsid w:val="00202D3F"/>
    <w:rsid w:val="002100A3"/>
    <w:rsid w:val="0021384E"/>
    <w:rsid w:val="00213FAB"/>
    <w:rsid w:val="002152B9"/>
    <w:rsid w:val="0021586A"/>
    <w:rsid w:val="00221324"/>
    <w:rsid w:val="002307D4"/>
    <w:rsid w:val="00235BC5"/>
    <w:rsid w:val="00241212"/>
    <w:rsid w:val="002422A0"/>
    <w:rsid w:val="002439A0"/>
    <w:rsid w:val="00245413"/>
    <w:rsid w:val="002557B3"/>
    <w:rsid w:val="00255B07"/>
    <w:rsid w:val="0025774F"/>
    <w:rsid w:val="0026178A"/>
    <w:rsid w:val="0026238C"/>
    <w:rsid w:val="00266C08"/>
    <w:rsid w:val="0027025E"/>
    <w:rsid w:val="002702EA"/>
    <w:rsid w:val="002710CD"/>
    <w:rsid w:val="002718AE"/>
    <w:rsid w:val="00273F33"/>
    <w:rsid w:val="0027427B"/>
    <w:rsid w:val="0027485A"/>
    <w:rsid w:val="00276452"/>
    <w:rsid w:val="0027730B"/>
    <w:rsid w:val="00281380"/>
    <w:rsid w:val="00281B28"/>
    <w:rsid w:val="00282667"/>
    <w:rsid w:val="00290709"/>
    <w:rsid w:val="00292384"/>
    <w:rsid w:val="002953A5"/>
    <w:rsid w:val="00296965"/>
    <w:rsid w:val="002A0B7F"/>
    <w:rsid w:val="002A2A6D"/>
    <w:rsid w:val="002A35DF"/>
    <w:rsid w:val="002B031D"/>
    <w:rsid w:val="002B089B"/>
    <w:rsid w:val="002B1913"/>
    <w:rsid w:val="002B4113"/>
    <w:rsid w:val="002B4DCE"/>
    <w:rsid w:val="002C0A95"/>
    <w:rsid w:val="002C2358"/>
    <w:rsid w:val="002C4BC1"/>
    <w:rsid w:val="002D0059"/>
    <w:rsid w:val="002D1482"/>
    <w:rsid w:val="002D21EE"/>
    <w:rsid w:val="002D301B"/>
    <w:rsid w:val="002D348C"/>
    <w:rsid w:val="002D369A"/>
    <w:rsid w:val="002D54E3"/>
    <w:rsid w:val="002D5CC7"/>
    <w:rsid w:val="002D79B6"/>
    <w:rsid w:val="002E0369"/>
    <w:rsid w:val="002E0B12"/>
    <w:rsid w:val="002E1C87"/>
    <w:rsid w:val="002E242A"/>
    <w:rsid w:val="002E2A19"/>
    <w:rsid w:val="002E337C"/>
    <w:rsid w:val="002E3684"/>
    <w:rsid w:val="002E46C8"/>
    <w:rsid w:val="002E6214"/>
    <w:rsid w:val="002E65AE"/>
    <w:rsid w:val="002E7527"/>
    <w:rsid w:val="002F7185"/>
    <w:rsid w:val="002F767B"/>
    <w:rsid w:val="002F7AD9"/>
    <w:rsid w:val="0030188F"/>
    <w:rsid w:val="00301BC9"/>
    <w:rsid w:val="00302561"/>
    <w:rsid w:val="0030395F"/>
    <w:rsid w:val="003040A1"/>
    <w:rsid w:val="0030655E"/>
    <w:rsid w:val="003102B1"/>
    <w:rsid w:val="00310DFE"/>
    <w:rsid w:val="0031374F"/>
    <w:rsid w:val="00322B67"/>
    <w:rsid w:val="00323F31"/>
    <w:rsid w:val="003309C2"/>
    <w:rsid w:val="003310F2"/>
    <w:rsid w:val="003314AB"/>
    <w:rsid w:val="00331527"/>
    <w:rsid w:val="0033307A"/>
    <w:rsid w:val="00334D9A"/>
    <w:rsid w:val="003401B3"/>
    <w:rsid w:val="00342317"/>
    <w:rsid w:val="00342AA5"/>
    <w:rsid w:val="003441C0"/>
    <w:rsid w:val="003479D7"/>
    <w:rsid w:val="00352FD1"/>
    <w:rsid w:val="00353911"/>
    <w:rsid w:val="00355AFE"/>
    <w:rsid w:val="00356677"/>
    <w:rsid w:val="00356CAA"/>
    <w:rsid w:val="00357C21"/>
    <w:rsid w:val="00360A2F"/>
    <w:rsid w:val="00360F02"/>
    <w:rsid w:val="003613B3"/>
    <w:rsid w:val="003648F8"/>
    <w:rsid w:val="00364F33"/>
    <w:rsid w:val="00366C38"/>
    <w:rsid w:val="0037049C"/>
    <w:rsid w:val="00371B0C"/>
    <w:rsid w:val="0038117C"/>
    <w:rsid w:val="00382380"/>
    <w:rsid w:val="00384372"/>
    <w:rsid w:val="00385E19"/>
    <w:rsid w:val="00386BA3"/>
    <w:rsid w:val="003911BC"/>
    <w:rsid w:val="00391CA3"/>
    <w:rsid w:val="00396263"/>
    <w:rsid w:val="003A1235"/>
    <w:rsid w:val="003A1A1F"/>
    <w:rsid w:val="003A54C9"/>
    <w:rsid w:val="003A679D"/>
    <w:rsid w:val="003A7FB1"/>
    <w:rsid w:val="003B2409"/>
    <w:rsid w:val="003B36C6"/>
    <w:rsid w:val="003B3898"/>
    <w:rsid w:val="003B7DD0"/>
    <w:rsid w:val="003C6D84"/>
    <w:rsid w:val="003D0189"/>
    <w:rsid w:val="003D0290"/>
    <w:rsid w:val="003D1FB8"/>
    <w:rsid w:val="003D298F"/>
    <w:rsid w:val="003D2C23"/>
    <w:rsid w:val="003D3577"/>
    <w:rsid w:val="003D35DA"/>
    <w:rsid w:val="003D475C"/>
    <w:rsid w:val="003D64DA"/>
    <w:rsid w:val="003E020B"/>
    <w:rsid w:val="003E10F3"/>
    <w:rsid w:val="003E5FE6"/>
    <w:rsid w:val="003E73DB"/>
    <w:rsid w:val="003E75FC"/>
    <w:rsid w:val="003F11C8"/>
    <w:rsid w:val="003F39F5"/>
    <w:rsid w:val="003F58B3"/>
    <w:rsid w:val="00401E42"/>
    <w:rsid w:val="00401E9D"/>
    <w:rsid w:val="00404CDD"/>
    <w:rsid w:val="00404D85"/>
    <w:rsid w:val="00410A87"/>
    <w:rsid w:val="00411060"/>
    <w:rsid w:val="004113FA"/>
    <w:rsid w:val="0041622E"/>
    <w:rsid w:val="00417524"/>
    <w:rsid w:val="004221DF"/>
    <w:rsid w:val="00426C6E"/>
    <w:rsid w:val="00431BC2"/>
    <w:rsid w:val="00431CA8"/>
    <w:rsid w:val="0043222F"/>
    <w:rsid w:val="00434CB7"/>
    <w:rsid w:val="004360B8"/>
    <w:rsid w:val="004362E8"/>
    <w:rsid w:val="00436946"/>
    <w:rsid w:val="0043769C"/>
    <w:rsid w:val="00444D5A"/>
    <w:rsid w:val="00445DE0"/>
    <w:rsid w:val="00451EB7"/>
    <w:rsid w:val="00452C7F"/>
    <w:rsid w:val="00452D17"/>
    <w:rsid w:val="004534AB"/>
    <w:rsid w:val="0045463A"/>
    <w:rsid w:val="00460813"/>
    <w:rsid w:val="00460A43"/>
    <w:rsid w:val="0046239B"/>
    <w:rsid w:val="00462E66"/>
    <w:rsid w:val="00466196"/>
    <w:rsid w:val="00471883"/>
    <w:rsid w:val="004742B5"/>
    <w:rsid w:val="00476CDA"/>
    <w:rsid w:val="004808FB"/>
    <w:rsid w:val="00481CEF"/>
    <w:rsid w:val="00481F4F"/>
    <w:rsid w:val="004820C1"/>
    <w:rsid w:val="00493F07"/>
    <w:rsid w:val="004965AC"/>
    <w:rsid w:val="00496710"/>
    <w:rsid w:val="004A5BFB"/>
    <w:rsid w:val="004A7C75"/>
    <w:rsid w:val="004B113C"/>
    <w:rsid w:val="004B357E"/>
    <w:rsid w:val="004B5492"/>
    <w:rsid w:val="004B5C6A"/>
    <w:rsid w:val="004C183F"/>
    <w:rsid w:val="004C1FB8"/>
    <w:rsid w:val="004C3AE1"/>
    <w:rsid w:val="004C4DD9"/>
    <w:rsid w:val="004C515D"/>
    <w:rsid w:val="004C65A0"/>
    <w:rsid w:val="004D19C4"/>
    <w:rsid w:val="004D378C"/>
    <w:rsid w:val="004D4DDC"/>
    <w:rsid w:val="004E0CDA"/>
    <w:rsid w:val="004E2348"/>
    <w:rsid w:val="004E6DA5"/>
    <w:rsid w:val="004E6EB1"/>
    <w:rsid w:val="004F0DF1"/>
    <w:rsid w:val="005025FF"/>
    <w:rsid w:val="00503BF3"/>
    <w:rsid w:val="0050476D"/>
    <w:rsid w:val="00506C74"/>
    <w:rsid w:val="005070A7"/>
    <w:rsid w:val="00510EC0"/>
    <w:rsid w:val="0051276B"/>
    <w:rsid w:val="005139F0"/>
    <w:rsid w:val="00514240"/>
    <w:rsid w:val="00514268"/>
    <w:rsid w:val="00514E2B"/>
    <w:rsid w:val="005174D3"/>
    <w:rsid w:val="00517935"/>
    <w:rsid w:val="0052344B"/>
    <w:rsid w:val="005256AC"/>
    <w:rsid w:val="00526B32"/>
    <w:rsid w:val="00526E0F"/>
    <w:rsid w:val="00527DEB"/>
    <w:rsid w:val="00530832"/>
    <w:rsid w:val="00536C4C"/>
    <w:rsid w:val="00537326"/>
    <w:rsid w:val="00537FC2"/>
    <w:rsid w:val="0054129E"/>
    <w:rsid w:val="00544EDF"/>
    <w:rsid w:val="00546663"/>
    <w:rsid w:val="00546789"/>
    <w:rsid w:val="00546A70"/>
    <w:rsid w:val="00546A9E"/>
    <w:rsid w:val="00547773"/>
    <w:rsid w:val="00550BA2"/>
    <w:rsid w:val="00550D00"/>
    <w:rsid w:val="005526D8"/>
    <w:rsid w:val="00553B66"/>
    <w:rsid w:val="00555A11"/>
    <w:rsid w:val="0055665B"/>
    <w:rsid w:val="0055698E"/>
    <w:rsid w:val="00557B85"/>
    <w:rsid w:val="00561E57"/>
    <w:rsid w:val="00566130"/>
    <w:rsid w:val="00567540"/>
    <w:rsid w:val="00567DD7"/>
    <w:rsid w:val="00570785"/>
    <w:rsid w:val="0057188E"/>
    <w:rsid w:val="00574776"/>
    <w:rsid w:val="00590074"/>
    <w:rsid w:val="00592390"/>
    <w:rsid w:val="00592811"/>
    <w:rsid w:val="00593A33"/>
    <w:rsid w:val="00594026"/>
    <w:rsid w:val="005A2437"/>
    <w:rsid w:val="005A4170"/>
    <w:rsid w:val="005B0E84"/>
    <w:rsid w:val="005B4198"/>
    <w:rsid w:val="005B55B3"/>
    <w:rsid w:val="005C193C"/>
    <w:rsid w:val="005C3BF8"/>
    <w:rsid w:val="005C6190"/>
    <w:rsid w:val="005D1A49"/>
    <w:rsid w:val="005D575D"/>
    <w:rsid w:val="005D6559"/>
    <w:rsid w:val="005D78E6"/>
    <w:rsid w:val="005E0123"/>
    <w:rsid w:val="005E2CAF"/>
    <w:rsid w:val="005E54A6"/>
    <w:rsid w:val="005E6872"/>
    <w:rsid w:val="005E725A"/>
    <w:rsid w:val="005F03CB"/>
    <w:rsid w:val="005F085C"/>
    <w:rsid w:val="006007DF"/>
    <w:rsid w:val="00601685"/>
    <w:rsid w:val="006045CF"/>
    <w:rsid w:val="00604A81"/>
    <w:rsid w:val="00607292"/>
    <w:rsid w:val="00611E70"/>
    <w:rsid w:val="006130CF"/>
    <w:rsid w:val="00613ADC"/>
    <w:rsid w:val="00615AB5"/>
    <w:rsid w:val="006167E0"/>
    <w:rsid w:val="00620119"/>
    <w:rsid w:val="00621A1C"/>
    <w:rsid w:val="0062488D"/>
    <w:rsid w:val="0062528B"/>
    <w:rsid w:val="00625F3F"/>
    <w:rsid w:val="00627D95"/>
    <w:rsid w:val="00633439"/>
    <w:rsid w:val="006423F4"/>
    <w:rsid w:val="0064267C"/>
    <w:rsid w:val="00644695"/>
    <w:rsid w:val="00647B0B"/>
    <w:rsid w:val="00650147"/>
    <w:rsid w:val="00651903"/>
    <w:rsid w:val="00651A75"/>
    <w:rsid w:val="00652230"/>
    <w:rsid w:val="00655325"/>
    <w:rsid w:val="0065547F"/>
    <w:rsid w:val="00655CFD"/>
    <w:rsid w:val="006565E6"/>
    <w:rsid w:val="00660619"/>
    <w:rsid w:val="006675ED"/>
    <w:rsid w:val="00670B90"/>
    <w:rsid w:val="0067314B"/>
    <w:rsid w:val="00673C08"/>
    <w:rsid w:val="00673F37"/>
    <w:rsid w:val="006747AA"/>
    <w:rsid w:val="0068476F"/>
    <w:rsid w:val="0069247E"/>
    <w:rsid w:val="006A058F"/>
    <w:rsid w:val="006A2C53"/>
    <w:rsid w:val="006A2E15"/>
    <w:rsid w:val="006A4EAC"/>
    <w:rsid w:val="006A52AA"/>
    <w:rsid w:val="006A6B9F"/>
    <w:rsid w:val="006B61F3"/>
    <w:rsid w:val="006C0F38"/>
    <w:rsid w:val="006D2557"/>
    <w:rsid w:val="006D5217"/>
    <w:rsid w:val="006D59BD"/>
    <w:rsid w:val="006D772C"/>
    <w:rsid w:val="006E22D8"/>
    <w:rsid w:val="006E32A7"/>
    <w:rsid w:val="006E3502"/>
    <w:rsid w:val="006E7C8B"/>
    <w:rsid w:val="006F0A9B"/>
    <w:rsid w:val="006F51E1"/>
    <w:rsid w:val="006F6590"/>
    <w:rsid w:val="00701634"/>
    <w:rsid w:val="00701B8C"/>
    <w:rsid w:val="00701DAA"/>
    <w:rsid w:val="00704E51"/>
    <w:rsid w:val="007079D3"/>
    <w:rsid w:val="00710652"/>
    <w:rsid w:val="00710C38"/>
    <w:rsid w:val="00713104"/>
    <w:rsid w:val="00713689"/>
    <w:rsid w:val="00714110"/>
    <w:rsid w:val="00716266"/>
    <w:rsid w:val="00721153"/>
    <w:rsid w:val="00721774"/>
    <w:rsid w:val="00724955"/>
    <w:rsid w:val="0072557A"/>
    <w:rsid w:val="007309E5"/>
    <w:rsid w:val="00730EAA"/>
    <w:rsid w:val="00731ABE"/>
    <w:rsid w:val="00731AFF"/>
    <w:rsid w:val="0073297F"/>
    <w:rsid w:val="0073563B"/>
    <w:rsid w:val="007366C0"/>
    <w:rsid w:val="007416BD"/>
    <w:rsid w:val="007440E8"/>
    <w:rsid w:val="007452D8"/>
    <w:rsid w:val="007473FA"/>
    <w:rsid w:val="00747B54"/>
    <w:rsid w:val="0075218B"/>
    <w:rsid w:val="007524F8"/>
    <w:rsid w:val="00752AE7"/>
    <w:rsid w:val="00752BA3"/>
    <w:rsid w:val="00754F38"/>
    <w:rsid w:val="00762229"/>
    <w:rsid w:val="00764219"/>
    <w:rsid w:val="00765604"/>
    <w:rsid w:val="007671E2"/>
    <w:rsid w:val="00767559"/>
    <w:rsid w:val="007705F7"/>
    <w:rsid w:val="007717EB"/>
    <w:rsid w:val="007778C4"/>
    <w:rsid w:val="00780B52"/>
    <w:rsid w:val="00781F09"/>
    <w:rsid w:val="0078674E"/>
    <w:rsid w:val="00790277"/>
    <w:rsid w:val="00793236"/>
    <w:rsid w:val="007A0776"/>
    <w:rsid w:val="007A3897"/>
    <w:rsid w:val="007A3DC1"/>
    <w:rsid w:val="007A6BDA"/>
    <w:rsid w:val="007B0795"/>
    <w:rsid w:val="007B07F4"/>
    <w:rsid w:val="007B0AE3"/>
    <w:rsid w:val="007B0CAA"/>
    <w:rsid w:val="007B1AE7"/>
    <w:rsid w:val="007B5401"/>
    <w:rsid w:val="007B5598"/>
    <w:rsid w:val="007B7CDA"/>
    <w:rsid w:val="007C1482"/>
    <w:rsid w:val="007C1F0D"/>
    <w:rsid w:val="007C3B87"/>
    <w:rsid w:val="007C40DC"/>
    <w:rsid w:val="007C600E"/>
    <w:rsid w:val="007C7093"/>
    <w:rsid w:val="007D23D0"/>
    <w:rsid w:val="007D5638"/>
    <w:rsid w:val="007D7323"/>
    <w:rsid w:val="007E45E0"/>
    <w:rsid w:val="007E481A"/>
    <w:rsid w:val="007E745E"/>
    <w:rsid w:val="007E7B49"/>
    <w:rsid w:val="007F05E3"/>
    <w:rsid w:val="007F1064"/>
    <w:rsid w:val="007F1264"/>
    <w:rsid w:val="007F1279"/>
    <w:rsid w:val="007F289E"/>
    <w:rsid w:val="007F4757"/>
    <w:rsid w:val="007F6B8B"/>
    <w:rsid w:val="008031E3"/>
    <w:rsid w:val="00803396"/>
    <w:rsid w:val="00803F51"/>
    <w:rsid w:val="008052D2"/>
    <w:rsid w:val="00812389"/>
    <w:rsid w:val="00814BD6"/>
    <w:rsid w:val="00816EE9"/>
    <w:rsid w:val="008171AD"/>
    <w:rsid w:val="008202AD"/>
    <w:rsid w:val="008212D3"/>
    <w:rsid w:val="008226DD"/>
    <w:rsid w:val="00823081"/>
    <w:rsid w:val="00830B03"/>
    <w:rsid w:val="008313A5"/>
    <w:rsid w:val="0083149F"/>
    <w:rsid w:val="0083534C"/>
    <w:rsid w:val="008401EA"/>
    <w:rsid w:val="008404FA"/>
    <w:rsid w:val="00840E4A"/>
    <w:rsid w:val="008423BE"/>
    <w:rsid w:val="00843BFE"/>
    <w:rsid w:val="008459CA"/>
    <w:rsid w:val="0084684B"/>
    <w:rsid w:val="00853D8D"/>
    <w:rsid w:val="0085583D"/>
    <w:rsid w:val="00856C0E"/>
    <w:rsid w:val="00863BF1"/>
    <w:rsid w:val="008668E6"/>
    <w:rsid w:val="00867EF9"/>
    <w:rsid w:val="00870A93"/>
    <w:rsid w:val="00871763"/>
    <w:rsid w:val="00874608"/>
    <w:rsid w:val="008828FA"/>
    <w:rsid w:val="008863B7"/>
    <w:rsid w:val="00886AD9"/>
    <w:rsid w:val="0088769A"/>
    <w:rsid w:val="00891266"/>
    <w:rsid w:val="008922E2"/>
    <w:rsid w:val="0089299D"/>
    <w:rsid w:val="008939F9"/>
    <w:rsid w:val="008942C5"/>
    <w:rsid w:val="00894530"/>
    <w:rsid w:val="00895784"/>
    <w:rsid w:val="008A2319"/>
    <w:rsid w:val="008A404E"/>
    <w:rsid w:val="008A47E3"/>
    <w:rsid w:val="008B33A2"/>
    <w:rsid w:val="008B377E"/>
    <w:rsid w:val="008B6B45"/>
    <w:rsid w:val="008C4A54"/>
    <w:rsid w:val="008C650A"/>
    <w:rsid w:val="008C7AD2"/>
    <w:rsid w:val="008D2AEF"/>
    <w:rsid w:val="008E0853"/>
    <w:rsid w:val="008E6488"/>
    <w:rsid w:val="008E767C"/>
    <w:rsid w:val="008F72FE"/>
    <w:rsid w:val="00902EF6"/>
    <w:rsid w:val="009034EF"/>
    <w:rsid w:val="00914995"/>
    <w:rsid w:val="009162E9"/>
    <w:rsid w:val="00917452"/>
    <w:rsid w:val="009247F4"/>
    <w:rsid w:val="00930A43"/>
    <w:rsid w:val="0093107F"/>
    <w:rsid w:val="009326F7"/>
    <w:rsid w:val="009327FD"/>
    <w:rsid w:val="00932BFA"/>
    <w:rsid w:val="00941D68"/>
    <w:rsid w:val="00942A36"/>
    <w:rsid w:val="009436CC"/>
    <w:rsid w:val="009442FA"/>
    <w:rsid w:val="009471F2"/>
    <w:rsid w:val="00950C5F"/>
    <w:rsid w:val="0095133D"/>
    <w:rsid w:val="009513C6"/>
    <w:rsid w:val="0095304C"/>
    <w:rsid w:val="00956D4D"/>
    <w:rsid w:val="00960DCA"/>
    <w:rsid w:val="009619A4"/>
    <w:rsid w:val="0096263A"/>
    <w:rsid w:val="0096297A"/>
    <w:rsid w:val="0096352C"/>
    <w:rsid w:val="0096429E"/>
    <w:rsid w:val="009669A1"/>
    <w:rsid w:val="00966F44"/>
    <w:rsid w:val="00970037"/>
    <w:rsid w:val="00974B7D"/>
    <w:rsid w:val="00976431"/>
    <w:rsid w:val="00977A3D"/>
    <w:rsid w:val="00980350"/>
    <w:rsid w:val="00980AF6"/>
    <w:rsid w:val="00984C5D"/>
    <w:rsid w:val="00986394"/>
    <w:rsid w:val="00986537"/>
    <w:rsid w:val="0098798A"/>
    <w:rsid w:val="00994EC7"/>
    <w:rsid w:val="00995983"/>
    <w:rsid w:val="009A1544"/>
    <w:rsid w:val="009A1B1D"/>
    <w:rsid w:val="009A3FEC"/>
    <w:rsid w:val="009A5B0A"/>
    <w:rsid w:val="009A6AD2"/>
    <w:rsid w:val="009A747B"/>
    <w:rsid w:val="009A7985"/>
    <w:rsid w:val="009B59CA"/>
    <w:rsid w:val="009B702B"/>
    <w:rsid w:val="009C0A1A"/>
    <w:rsid w:val="009C42FD"/>
    <w:rsid w:val="009C5D17"/>
    <w:rsid w:val="009D54B1"/>
    <w:rsid w:val="009E58D7"/>
    <w:rsid w:val="009F15B4"/>
    <w:rsid w:val="009F2E54"/>
    <w:rsid w:val="009F5FCA"/>
    <w:rsid w:val="009F76FF"/>
    <w:rsid w:val="009F784D"/>
    <w:rsid w:val="00A00563"/>
    <w:rsid w:val="00A02D7D"/>
    <w:rsid w:val="00A03516"/>
    <w:rsid w:val="00A03AE7"/>
    <w:rsid w:val="00A078AC"/>
    <w:rsid w:val="00A11AB9"/>
    <w:rsid w:val="00A11FD0"/>
    <w:rsid w:val="00A120E9"/>
    <w:rsid w:val="00A15169"/>
    <w:rsid w:val="00A15E99"/>
    <w:rsid w:val="00A2201F"/>
    <w:rsid w:val="00A2396D"/>
    <w:rsid w:val="00A31840"/>
    <w:rsid w:val="00A3322B"/>
    <w:rsid w:val="00A34D5E"/>
    <w:rsid w:val="00A34FF8"/>
    <w:rsid w:val="00A40E0A"/>
    <w:rsid w:val="00A437EE"/>
    <w:rsid w:val="00A47477"/>
    <w:rsid w:val="00A50450"/>
    <w:rsid w:val="00A56EC9"/>
    <w:rsid w:val="00A56FBF"/>
    <w:rsid w:val="00A6385B"/>
    <w:rsid w:val="00A74748"/>
    <w:rsid w:val="00A74D91"/>
    <w:rsid w:val="00A83EA3"/>
    <w:rsid w:val="00A85589"/>
    <w:rsid w:val="00A9017C"/>
    <w:rsid w:val="00A9258A"/>
    <w:rsid w:val="00A92A17"/>
    <w:rsid w:val="00A953E9"/>
    <w:rsid w:val="00A963C5"/>
    <w:rsid w:val="00A965E6"/>
    <w:rsid w:val="00A968B4"/>
    <w:rsid w:val="00AA153F"/>
    <w:rsid w:val="00AA23E7"/>
    <w:rsid w:val="00AA2444"/>
    <w:rsid w:val="00AA39FB"/>
    <w:rsid w:val="00AA4F73"/>
    <w:rsid w:val="00AA7697"/>
    <w:rsid w:val="00AB0411"/>
    <w:rsid w:val="00AB1776"/>
    <w:rsid w:val="00AB2869"/>
    <w:rsid w:val="00AB29E0"/>
    <w:rsid w:val="00AB32C2"/>
    <w:rsid w:val="00AB7626"/>
    <w:rsid w:val="00AC0402"/>
    <w:rsid w:val="00AC1261"/>
    <w:rsid w:val="00AC1903"/>
    <w:rsid w:val="00AC26BF"/>
    <w:rsid w:val="00AC3875"/>
    <w:rsid w:val="00AC416D"/>
    <w:rsid w:val="00AC41DE"/>
    <w:rsid w:val="00AC554D"/>
    <w:rsid w:val="00AC624F"/>
    <w:rsid w:val="00AD1585"/>
    <w:rsid w:val="00AD4628"/>
    <w:rsid w:val="00AD4A2B"/>
    <w:rsid w:val="00AD52A2"/>
    <w:rsid w:val="00AE1F61"/>
    <w:rsid w:val="00AE4308"/>
    <w:rsid w:val="00AE4A45"/>
    <w:rsid w:val="00AE7B38"/>
    <w:rsid w:val="00AF4C17"/>
    <w:rsid w:val="00AF4F37"/>
    <w:rsid w:val="00AF5902"/>
    <w:rsid w:val="00AF61E7"/>
    <w:rsid w:val="00AF76CC"/>
    <w:rsid w:val="00B03052"/>
    <w:rsid w:val="00B04C26"/>
    <w:rsid w:val="00B06C3E"/>
    <w:rsid w:val="00B12542"/>
    <w:rsid w:val="00B14CC4"/>
    <w:rsid w:val="00B17D48"/>
    <w:rsid w:val="00B2053A"/>
    <w:rsid w:val="00B2294D"/>
    <w:rsid w:val="00B23A3A"/>
    <w:rsid w:val="00B305D5"/>
    <w:rsid w:val="00B324E3"/>
    <w:rsid w:val="00B35852"/>
    <w:rsid w:val="00B3621A"/>
    <w:rsid w:val="00B37FF0"/>
    <w:rsid w:val="00B42604"/>
    <w:rsid w:val="00B44238"/>
    <w:rsid w:val="00B4650C"/>
    <w:rsid w:val="00B46C44"/>
    <w:rsid w:val="00B474CA"/>
    <w:rsid w:val="00B4765A"/>
    <w:rsid w:val="00B50C84"/>
    <w:rsid w:val="00B52F5F"/>
    <w:rsid w:val="00B53F06"/>
    <w:rsid w:val="00B60BB2"/>
    <w:rsid w:val="00B61411"/>
    <w:rsid w:val="00B65B70"/>
    <w:rsid w:val="00B739DF"/>
    <w:rsid w:val="00B740B1"/>
    <w:rsid w:val="00B77F15"/>
    <w:rsid w:val="00B85119"/>
    <w:rsid w:val="00B85D8A"/>
    <w:rsid w:val="00B90A3F"/>
    <w:rsid w:val="00B96B9F"/>
    <w:rsid w:val="00BA1C2A"/>
    <w:rsid w:val="00BA1C58"/>
    <w:rsid w:val="00BA289F"/>
    <w:rsid w:val="00BA3848"/>
    <w:rsid w:val="00BA522F"/>
    <w:rsid w:val="00BA566C"/>
    <w:rsid w:val="00BA6BB4"/>
    <w:rsid w:val="00BB073B"/>
    <w:rsid w:val="00BB10BE"/>
    <w:rsid w:val="00BB4637"/>
    <w:rsid w:val="00BB6EA7"/>
    <w:rsid w:val="00BB7733"/>
    <w:rsid w:val="00BB7807"/>
    <w:rsid w:val="00BC096F"/>
    <w:rsid w:val="00BC507D"/>
    <w:rsid w:val="00BC68CE"/>
    <w:rsid w:val="00BC6C09"/>
    <w:rsid w:val="00BC751B"/>
    <w:rsid w:val="00BD195C"/>
    <w:rsid w:val="00BD1DF5"/>
    <w:rsid w:val="00BD2061"/>
    <w:rsid w:val="00BD6DD2"/>
    <w:rsid w:val="00BD756C"/>
    <w:rsid w:val="00BE259B"/>
    <w:rsid w:val="00BE30CB"/>
    <w:rsid w:val="00BE5806"/>
    <w:rsid w:val="00BE787B"/>
    <w:rsid w:val="00BF0C6A"/>
    <w:rsid w:val="00BF1D95"/>
    <w:rsid w:val="00BF4172"/>
    <w:rsid w:val="00BF64B6"/>
    <w:rsid w:val="00C07266"/>
    <w:rsid w:val="00C078D9"/>
    <w:rsid w:val="00C1032B"/>
    <w:rsid w:val="00C20551"/>
    <w:rsid w:val="00C22C49"/>
    <w:rsid w:val="00C2320D"/>
    <w:rsid w:val="00C23616"/>
    <w:rsid w:val="00C23D1F"/>
    <w:rsid w:val="00C25AD5"/>
    <w:rsid w:val="00C26795"/>
    <w:rsid w:val="00C27285"/>
    <w:rsid w:val="00C30B0E"/>
    <w:rsid w:val="00C34F95"/>
    <w:rsid w:val="00C36D93"/>
    <w:rsid w:val="00C373D3"/>
    <w:rsid w:val="00C41359"/>
    <w:rsid w:val="00C413AD"/>
    <w:rsid w:val="00C41C98"/>
    <w:rsid w:val="00C467B6"/>
    <w:rsid w:val="00C47A99"/>
    <w:rsid w:val="00C508DD"/>
    <w:rsid w:val="00C56B48"/>
    <w:rsid w:val="00C677AD"/>
    <w:rsid w:val="00C701AC"/>
    <w:rsid w:val="00C72557"/>
    <w:rsid w:val="00C74501"/>
    <w:rsid w:val="00C75B87"/>
    <w:rsid w:val="00C81564"/>
    <w:rsid w:val="00C821FA"/>
    <w:rsid w:val="00C82C18"/>
    <w:rsid w:val="00C84B19"/>
    <w:rsid w:val="00C90219"/>
    <w:rsid w:val="00C9094E"/>
    <w:rsid w:val="00C91C09"/>
    <w:rsid w:val="00C921E2"/>
    <w:rsid w:val="00C921ED"/>
    <w:rsid w:val="00C94BE0"/>
    <w:rsid w:val="00C975A7"/>
    <w:rsid w:val="00CA01B7"/>
    <w:rsid w:val="00CA0447"/>
    <w:rsid w:val="00CA2A5A"/>
    <w:rsid w:val="00CA33CF"/>
    <w:rsid w:val="00CA3535"/>
    <w:rsid w:val="00CA737C"/>
    <w:rsid w:val="00CA7BCD"/>
    <w:rsid w:val="00CB031C"/>
    <w:rsid w:val="00CB0C5E"/>
    <w:rsid w:val="00CB12D8"/>
    <w:rsid w:val="00CB1C31"/>
    <w:rsid w:val="00CB4F02"/>
    <w:rsid w:val="00CC3DBB"/>
    <w:rsid w:val="00CC7730"/>
    <w:rsid w:val="00CD1117"/>
    <w:rsid w:val="00CD1914"/>
    <w:rsid w:val="00CD19D3"/>
    <w:rsid w:val="00CD36EA"/>
    <w:rsid w:val="00CD64F0"/>
    <w:rsid w:val="00CE1746"/>
    <w:rsid w:val="00CE6DCE"/>
    <w:rsid w:val="00CF156D"/>
    <w:rsid w:val="00CF16A0"/>
    <w:rsid w:val="00CF1B0C"/>
    <w:rsid w:val="00CF1B51"/>
    <w:rsid w:val="00CF2EDB"/>
    <w:rsid w:val="00CF38DA"/>
    <w:rsid w:val="00CF469B"/>
    <w:rsid w:val="00CF4CA2"/>
    <w:rsid w:val="00CF5992"/>
    <w:rsid w:val="00CF5CC2"/>
    <w:rsid w:val="00CF62BA"/>
    <w:rsid w:val="00CF62D5"/>
    <w:rsid w:val="00D00213"/>
    <w:rsid w:val="00D02E02"/>
    <w:rsid w:val="00D04121"/>
    <w:rsid w:val="00D0780B"/>
    <w:rsid w:val="00D07CD5"/>
    <w:rsid w:val="00D12581"/>
    <w:rsid w:val="00D13816"/>
    <w:rsid w:val="00D1688F"/>
    <w:rsid w:val="00D16E5B"/>
    <w:rsid w:val="00D21241"/>
    <w:rsid w:val="00D223D8"/>
    <w:rsid w:val="00D228A3"/>
    <w:rsid w:val="00D3153D"/>
    <w:rsid w:val="00D40695"/>
    <w:rsid w:val="00D41407"/>
    <w:rsid w:val="00D41A76"/>
    <w:rsid w:val="00D425C0"/>
    <w:rsid w:val="00D43DE6"/>
    <w:rsid w:val="00D4413A"/>
    <w:rsid w:val="00D444AE"/>
    <w:rsid w:val="00D446D8"/>
    <w:rsid w:val="00D457CB"/>
    <w:rsid w:val="00D50C9B"/>
    <w:rsid w:val="00D52D22"/>
    <w:rsid w:val="00D563F3"/>
    <w:rsid w:val="00D56FEA"/>
    <w:rsid w:val="00D578DA"/>
    <w:rsid w:val="00D605B0"/>
    <w:rsid w:val="00D61391"/>
    <w:rsid w:val="00D62DCB"/>
    <w:rsid w:val="00D65895"/>
    <w:rsid w:val="00D70E3E"/>
    <w:rsid w:val="00D72E7F"/>
    <w:rsid w:val="00D73968"/>
    <w:rsid w:val="00D8301C"/>
    <w:rsid w:val="00D8510D"/>
    <w:rsid w:val="00D85995"/>
    <w:rsid w:val="00D87198"/>
    <w:rsid w:val="00D91854"/>
    <w:rsid w:val="00D94AEB"/>
    <w:rsid w:val="00D95B98"/>
    <w:rsid w:val="00D9747F"/>
    <w:rsid w:val="00DA62A5"/>
    <w:rsid w:val="00DA67DB"/>
    <w:rsid w:val="00DB643D"/>
    <w:rsid w:val="00DC4572"/>
    <w:rsid w:val="00DC47BE"/>
    <w:rsid w:val="00DC4D67"/>
    <w:rsid w:val="00DC5D16"/>
    <w:rsid w:val="00DC5FB4"/>
    <w:rsid w:val="00DC6A5F"/>
    <w:rsid w:val="00DD167B"/>
    <w:rsid w:val="00DD328B"/>
    <w:rsid w:val="00DD59F2"/>
    <w:rsid w:val="00DD6A50"/>
    <w:rsid w:val="00DE20B7"/>
    <w:rsid w:val="00DE4D28"/>
    <w:rsid w:val="00DE5096"/>
    <w:rsid w:val="00DE6963"/>
    <w:rsid w:val="00DE69DF"/>
    <w:rsid w:val="00DF31B5"/>
    <w:rsid w:val="00DF343B"/>
    <w:rsid w:val="00DF40CF"/>
    <w:rsid w:val="00E00B82"/>
    <w:rsid w:val="00E04827"/>
    <w:rsid w:val="00E06765"/>
    <w:rsid w:val="00E0781D"/>
    <w:rsid w:val="00E10506"/>
    <w:rsid w:val="00E126D5"/>
    <w:rsid w:val="00E13111"/>
    <w:rsid w:val="00E13D4E"/>
    <w:rsid w:val="00E1433F"/>
    <w:rsid w:val="00E14A4F"/>
    <w:rsid w:val="00E2134A"/>
    <w:rsid w:val="00E216D7"/>
    <w:rsid w:val="00E22851"/>
    <w:rsid w:val="00E239F2"/>
    <w:rsid w:val="00E2609E"/>
    <w:rsid w:val="00E31F5B"/>
    <w:rsid w:val="00E3228C"/>
    <w:rsid w:val="00E34825"/>
    <w:rsid w:val="00E3577D"/>
    <w:rsid w:val="00E378D2"/>
    <w:rsid w:val="00E37FF9"/>
    <w:rsid w:val="00E40010"/>
    <w:rsid w:val="00E4011B"/>
    <w:rsid w:val="00E404D8"/>
    <w:rsid w:val="00E40EB1"/>
    <w:rsid w:val="00E435E3"/>
    <w:rsid w:val="00E47158"/>
    <w:rsid w:val="00E500D5"/>
    <w:rsid w:val="00E512C5"/>
    <w:rsid w:val="00E545DF"/>
    <w:rsid w:val="00E55C06"/>
    <w:rsid w:val="00E55DCD"/>
    <w:rsid w:val="00E55FAF"/>
    <w:rsid w:val="00E56809"/>
    <w:rsid w:val="00E61E7A"/>
    <w:rsid w:val="00E63736"/>
    <w:rsid w:val="00E6470C"/>
    <w:rsid w:val="00E65DBE"/>
    <w:rsid w:val="00E7235B"/>
    <w:rsid w:val="00E77C0D"/>
    <w:rsid w:val="00E80468"/>
    <w:rsid w:val="00E80BA3"/>
    <w:rsid w:val="00E81D8A"/>
    <w:rsid w:val="00E834FF"/>
    <w:rsid w:val="00E83557"/>
    <w:rsid w:val="00E8513F"/>
    <w:rsid w:val="00E852F4"/>
    <w:rsid w:val="00E866CF"/>
    <w:rsid w:val="00E86FAB"/>
    <w:rsid w:val="00E90CE4"/>
    <w:rsid w:val="00E92ADB"/>
    <w:rsid w:val="00EA0489"/>
    <w:rsid w:val="00EA0ADB"/>
    <w:rsid w:val="00EA482F"/>
    <w:rsid w:val="00EA7D7C"/>
    <w:rsid w:val="00EB0B94"/>
    <w:rsid w:val="00EB1258"/>
    <w:rsid w:val="00EB57BD"/>
    <w:rsid w:val="00EB619F"/>
    <w:rsid w:val="00EC3399"/>
    <w:rsid w:val="00EC38C5"/>
    <w:rsid w:val="00EC63AE"/>
    <w:rsid w:val="00EC6FDC"/>
    <w:rsid w:val="00EC7141"/>
    <w:rsid w:val="00EC7AA5"/>
    <w:rsid w:val="00ED0601"/>
    <w:rsid w:val="00ED1543"/>
    <w:rsid w:val="00ED3059"/>
    <w:rsid w:val="00ED3C3A"/>
    <w:rsid w:val="00ED4AAF"/>
    <w:rsid w:val="00ED67C5"/>
    <w:rsid w:val="00EE317F"/>
    <w:rsid w:val="00EE34AC"/>
    <w:rsid w:val="00EE4175"/>
    <w:rsid w:val="00EE551A"/>
    <w:rsid w:val="00EE7770"/>
    <w:rsid w:val="00EF0480"/>
    <w:rsid w:val="00EF4AE7"/>
    <w:rsid w:val="00EF4E5C"/>
    <w:rsid w:val="00F0503E"/>
    <w:rsid w:val="00F05E8A"/>
    <w:rsid w:val="00F06945"/>
    <w:rsid w:val="00F1636F"/>
    <w:rsid w:val="00F23C93"/>
    <w:rsid w:val="00F32253"/>
    <w:rsid w:val="00F355E2"/>
    <w:rsid w:val="00F43EDB"/>
    <w:rsid w:val="00F446C0"/>
    <w:rsid w:val="00F51996"/>
    <w:rsid w:val="00F52D6C"/>
    <w:rsid w:val="00F53A36"/>
    <w:rsid w:val="00F54264"/>
    <w:rsid w:val="00F5488B"/>
    <w:rsid w:val="00F553A3"/>
    <w:rsid w:val="00F5663D"/>
    <w:rsid w:val="00F611C0"/>
    <w:rsid w:val="00F64AFC"/>
    <w:rsid w:val="00F66A1E"/>
    <w:rsid w:val="00F67812"/>
    <w:rsid w:val="00F716E0"/>
    <w:rsid w:val="00F80F59"/>
    <w:rsid w:val="00F825D3"/>
    <w:rsid w:val="00F82E4A"/>
    <w:rsid w:val="00F868A9"/>
    <w:rsid w:val="00F87870"/>
    <w:rsid w:val="00F90906"/>
    <w:rsid w:val="00F93C7D"/>
    <w:rsid w:val="00F973A4"/>
    <w:rsid w:val="00FA2130"/>
    <w:rsid w:val="00FA2690"/>
    <w:rsid w:val="00FA424A"/>
    <w:rsid w:val="00FA4662"/>
    <w:rsid w:val="00FA7CF6"/>
    <w:rsid w:val="00FB2ABD"/>
    <w:rsid w:val="00FB65F8"/>
    <w:rsid w:val="00FB6ECA"/>
    <w:rsid w:val="00FB7CD4"/>
    <w:rsid w:val="00FC3424"/>
    <w:rsid w:val="00FC3AAD"/>
    <w:rsid w:val="00FC5461"/>
    <w:rsid w:val="00FC6770"/>
    <w:rsid w:val="00FC7AB3"/>
    <w:rsid w:val="00FD295E"/>
    <w:rsid w:val="00FD495C"/>
    <w:rsid w:val="00FD7154"/>
    <w:rsid w:val="00FE286F"/>
    <w:rsid w:val="00FF1634"/>
    <w:rsid w:val="00FF27A4"/>
    <w:rsid w:val="00FF37F3"/>
    <w:rsid w:val="00FF3D41"/>
    <w:rsid w:val="00FF58ED"/>
    <w:rsid w:val="00FF6141"/>
    <w:rsid w:val="4BB052CB"/>
  </w:rsids>
  <m:mathPr>
    <m:mathFont m:val="Cambria Math"/>
    <m:brkBin m:val="before"/>
    <m:brkBinSub m:val="--"/>
    <m:smallFrac m:val="0"/>
    <m:dispDef/>
    <m:lMargin m:val="0"/>
    <m:rMargin m:val="0"/>
    <m:defJc m:val="centerGroup"/>
    <m:wrapIndent m:val="1440"/>
    <m:intLim m:val="subSup"/>
    <m:naryLim m:val="undOvr"/>
  </m:mathPr>
  <w:themeFontLang w:val="es-SV"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CB988B"/>
  <w15:docId w15:val="{1B9BA5A8-43DF-4491-BB04-A332BAA4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419"/>
        <w:tab w:val="right" w:pos="8838"/>
      </w:tabs>
      <w:spacing w:after="0" w:line="240" w:lineRule="auto"/>
    </w:pPr>
    <w:rPr>
      <w:lang w:val="es-SV"/>
    </w:rPr>
  </w:style>
  <w:style w:type="paragraph" w:styleId="Piedepgina">
    <w:name w:val="footer"/>
    <w:basedOn w:val="Normal"/>
    <w:link w:val="PiedepginaCar"/>
    <w:uiPriority w:val="99"/>
    <w:unhideWhenUsed/>
    <w:qFormat/>
    <w:pPr>
      <w:tabs>
        <w:tab w:val="center" w:pos="4419"/>
        <w:tab w:val="right" w:pos="8838"/>
      </w:tabs>
      <w:spacing w:after="0" w:line="240" w:lineRule="auto"/>
    </w:pPr>
    <w:rPr>
      <w:lang w:val="es-SV"/>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Prrafodelista">
    <w:name w:val="List Paragraph"/>
    <w:basedOn w:val="Normal"/>
    <w:uiPriority w:val="34"/>
    <w:qFormat/>
    <w:pPr>
      <w:ind w:left="720"/>
      <w:contextualSpacing/>
    </w:pPr>
  </w:style>
  <w:style w:type="paragraph" w:styleId="Sinespaciado">
    <w:name w:val="No Spacing"/>
    <w:uiPriority w:val="1"/>
    <w:qFormat/>
    <w:rPr>
      <w:sz w:val="22"/>
      <w:szCs w:val="22"/>
      <w:lang w:val="es-ES" w:eastAsia="en-US"/>
    </w:rPr>
  </w:style>
  <w:style w:type="paragraph" w:styleId="Textoindependiente">
    <w:name w:val="Body Text"/>
    <w:basedOn w:val="Normal"/>
    <w:link w:val="TextoindependienteCar"/>
    <w:uiPriority w:val="1"/>
    <w:qFormat/>
    <w:rsid w:val="008171AD"/>
    <w:pPr>
      <w:widowControl w:val="0"/>
      <w:autoSpaceDE w:val="0"/>
      <w:autoSpaceDN w:val="0"/>
      <w:spacing w:after="0" w:line="240" w:lineRule="auto"/>
    </w:pPr>
    <w:rPr>
      <w:rFonts w:ascii="Tahoma" w:eastAsia="Tahoma" w:hAnsi="Tahoma" w:cs="Tahoma"/>
      <w:sz w:val="20"/>
      <w:szCs w:val="20"/>
    </w:rPr>
  </w:style>
  <w:style w:type="character" w:customStyle="1" w:styleId="TextoindependienteCar">
    <w:name w:val="Texto independiente Car"/>
    <w:basedOn w:val="Fuentedeprrafopredeter"/>
    <w:link w:val="Textoindependiente"/>
    <w:uiPriority w:val="1"/>
    <w:rsid w:val="008171AD"/>
    <w:rPr>
      <w:rFonts w:ascii="Tahoma" w:eastAsia="Tahoma" w:hAnsi="Tahoma" w:cs="Tahom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218150">
      <w:bodyDiv w:val="1"/>
      <w:marLeft w:val="0"/>
      <w:marRight w:val="0"/>
      <w:marTop w:val="0"/>
      <w:marBottom w:val="0"/>
      <w:divBdr>
        <w:top w:val="none" w:sz="0" w:space="0" w:color="auto"/>
        <w:left w:val="none" w:sz="0" w:space="0" w:color="auto"/>
        <w:bottom w:val="none" w:sz="0" w:space="0" w:color="auto"/>
        <w:right w:val="none" w:sz="0" w:space="0" w:color="auto"/>
      </w:divBdr>
    </w:div>
    <w:div w:id="1883666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91834-1BDB-4FEB-92A0-72FC70B1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940</Words>
  <Characters>5172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COMUNICACIONES</dc:creator>
  <cp:lastModifiedBy>Equipo</cp:lastModifiedBy>
  <cp:revision>21</cp:revision>
  <cp:lastPrinted>2025-01-14T20:31:00Z</cp:lastPrinted>
  <dcterms:created xsi:type="dcterms:W3CDTF">2025-01-14T20:04:00Z</dcterms:created>
  <dcterms:modified xsi:type="dcterms:W3CDTF">2025-01-21T17:52:00Z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2058-12.2.0.18607</vt:lpwstr>
  </property>
  <property fmtid="{D5CDD505-2E9C-101B-9397-08002B2CF9AE}" pid="3" name="ICV">
    <vt:lpwstr>D18280CA35344DC190A3750AB9097100_12</vt:lpwstr>
  </property>
</Properties>
</file>