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8B" w:rsidRDefault="00F3148B" w:rsidP="00C7178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:rsidR="00C7178F" w:rsidRDefault="00F3148B" w:rsidP="00C7178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 w:rsidRPr="00F314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SEGUNDO TRIMESTRE AÑO 2024 SUBSIDIOS E INCENTIVOS FISCALES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 DEL DISTRITO DE APOPA</w:t>
      </w:r>
      <w:r w:rsidRPr="00F314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: DISPENSA DE INTERESES</w:t>
      </w:r>
    </w:p>
    <w:p w:rsidR="00F3148B" w:rsidRPr="00860954" w:rsidRDefault="00F3148B" w:rsidP="00C7178F">
      <w:pPr>
        <w:spacing w:after="0" w:line="240" w:lineRule="auto"/>
        <w:jc w:val="center"/>
        <w:rPr>
          <w:rFonts w:eastAsiaTheme="minorEastAsia" w:cstheme="minorHAnsi"/>
          <w:b/>
          <w:i/>
          <w:szCs w:val="18"/>
          <w:u w:val="single"/>
          <w:lang w:bidi="en-US"/>
        </w:rPr>
      </w:pPr>
    </w:p>
    <w:tbl>
      <w:tblPr>
        <w:tblW w:w="13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917"/>
        <w:gridCol w:w="1485"/>
        <w:gridCol w:w="6169"/>
        <w:gridCol w:w="1401"/>
        <w:gridCol w:w="1499"/>
      </w:tblGrid>
      <w:tr w:rsidR="00F3148B" w:rsidRPr="00F3148B" w:rsidTr="00F3148B">
        <w:trPr>
          <w:trHeight w:val="510"/>
          <w:tblHeader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NOMBRE DEL PROGRAMA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DISEÑO Y EJECUCIÓN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MONTOS ASIGNADOS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CRITERIOS DE ACCESO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NUMERO DE BENEFICIARIOS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ACTUALIZACIÓN TRIMESTRAL</w:t>
            </w:r>
          </w:p>
        </w:tc>
      </w:tr>
      <w:tr w:rsidR="00F3148B" w:rsidRPr="00F3148B" w:rsidTr="00F3148B">
        <w:trPr>
          <w:trHeight w:val="435"/>
        </w:trPr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ORDENANZA TRANSITORIA DE DISPENSA TRIBUTARIA PARA LA EXONERACIÓN DE LOS INTERESES Y MULTAS POR MORA PRODUCTO DE LAS TASAS MUNICIPALES DE APOPA</w:t>
            </w: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El día 09 de febrero 2024 se presentó ante el Concejo el Decreto No. 1 de la Ordenanza Transitoria de Dispensa Tributaria para la exoneración de los Intereses y Multas por mora producto de las Tasas Municipales de Apopa, el cual fue aprobado en Acta No. 7 Acuerdo No. 8 de fecha  09/02/2024.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Desde el 01 de abril al 08 de junio 2024, desde la Sección de Recuperación de Mora se logró ingresar la cantidad de $323,683.30, por cuentas de inmuebles, correspondiente al 60% de los ing</w:t>
            </w:r>
            <w:bookmarkStart w:id="0" w:name="_GoBack"/>
            <w:bookmarkEnd w:id="0"/>
            <w:r w:rsidRPr="00F31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resos totales.</w:t>
            </w:r>
          </w:p>
        </w:tc>
        <w:tc>
          <w:tcPr>
            <w:tcW w:w="6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a) Aquellos contribuyentes que, estando registrados en el municipio, se encuentren en situación de mora en el pago de las tasas por servicios municipales.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8,862 Contribuyentes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Datos del 01/04/24 al 08/06/24</w:t>
            </w:r>
          </w:p>
        </w:tc>
      </w:tr>
      <w:tr w:rsidR="00F3148B" w:rsidRPr="00F3148B" w:rsidTr="00F3148B">
        <w:trPr>
          <w:trHeight w:val="464"/>
        </w:trPr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</w:tr>
      <w:tr w:rsidR="00F3148B" w:rsidRPr="00F3148B" w:rsidTr="00F3148B">
        <w:trPr>
          <w:trHeight w:val="2550"/>
        </w:trPr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b) Los contribuyentes que habiendo obtenido resolución favorable para pagar la deuda tributaria por tasas de servicios municipales y hayan suscrito el correspondiente plan de pago, deberán solicitar incorporar el beneficio a los planes de pago ya existentes durante los 90 días calendario que dure la presente ordenanza transitoria o solicitar la anulación de dicho plan de pago  para gozar de este beneficio con un nuevo plan de pago sometiéndose a los lineamientos registrados en la presente ordenanza.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</w:tr>
      <w:tr w:rsidR="00F3148B" w:rsidRPr="00F3148B" w:rsidTr="00F3148B">
        <w:trPr>
          <w:trHeight w:val="765"/>
        </w:trPr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c)  Los contribuyentes que puedan pagar la totalidad de la deuda durante los 90 días calendario que dure la presente ordenanza transitoria. 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</w:tr>
      <w:tr w:rsidR="00F3148B" w:rsidRPr="00F3148B" w:rsidTr="00F3148B">
        <w:trPr>
          <w:trHeight w:val="1275"/>
        </w:trPr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El día 27 de febrero de 2024 se publicó en el Diario Oficial y entró en vigencia el 08 de marzo del presente año, finalizando el 08 de junio 2024.</w:t>
            </w: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d) Podrán acogerse al presente decreto, los contribuyentes que se les haya iniciado proceso de cobro administrativo o judicial por tasas de servicios municipales, siempre que no se les haya dictado sentencia judicial firme en proceso ejecutivo.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</w:tr>
      <w:tr w:rsidR="00F3148B" w:rsidRPr="00F3148B" w:rsidTr="00F3148B">
        <w:trPr>
          <w:trHeight w:val="765"/>
        </w:trPr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e) Aquellos contribuyentes que hayan incumplido el plan de pago suscrito con la municipalidad y se favorezcan con el beneficio otorgado en la presente ordenanza.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</w:tr>
      <w:tr w:rsidR="00F3148B" w:rsidRPr="00F3148B" w:rsidTr="00F3148B">
        <w:trPr>
          <w:trHeight w:val="1020"/>
        </w:trPr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f) Aquellos contribuyentes que hayan interpuesto recurso de revisión, apelación y/o hayan iniciado juicio contencioso administrativo, previo desistimiento de dichos recursos y juicio.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</w:tr>
      <w:tr w:rsidR="00F3148B" w:rsidRPr="00F3148B" w:rsidTr="00F3148B">
        <w:trPr>
          <w:trHeight w:val="2295"/>
        </w:trPr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g) Podrán acogerse a la presente ordenanza aquellas instituciones de gobierno que no hayan podido cancelar sus tasas de servicios municipales en el tiempo de vigencia de la ordenanza, debido a la falta de liberación de fondos, esto con la debida comprobación que el proceso lo iniciaron dentro de una ordenanza de exoneración de intereses y multas por mora de tasas por servicios municipales que no exceda de seis meses de la entrada en vigencia de esta ordenanza.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</w:tr>
      <w:tr w:rsidR="00F3148B" w:rsidRPr="00F3148B" w:rsidTr="00F3148B">
        <w:trPr>
          <w:trHeight w:val="1275"/>
        </w:trPr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F31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h) Los contribuyentes podrán acogerse al presente decreto solicitando un plan de pago, cuando cancelen una prima de un mínimo de 15 por ciento del monto total del tributo a pagar, es decir con la multa e intereses dispensados, y las condiciones del pago de la misma.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8B" w:rsidRPr="00F3148B" w:rsidRDefault="00F3148B" w:rsidP="00F3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</w:p>
        </w:tc>
      </w:tr>
    </w:tbl>
    <w:p w:rsidR="00C7178F" w:rsidRPr="00860954" w:rsidRDefault="00C7178F" w:rsidP="00C7178F">
      <w:pPr>
        <w:spacing w:after="0" w:line="240" w:lineRule="auto"/>
        <w:jc w:val="center"/>
        <w:rPr>
          <w:rFonts w:eastAsiaTheme="minorEastAsia" w:cstheme="minorHAnsi"/>
          <w:b/>
          <w:i/>
          <w:szCs w:val="18"/>
          <w:u w:val="single"/>
          <w:lang w:bidi="en-US"/>
        </w:rPr>
      </w:pPr>
    </w:p>
    <w:sectPr w:rsidR="00C7178F" w:rsidRPr="00860954" w:rsidSect="001F736E">
      <w:headerReference w:type="default" r:id="rId8"/>
      <w:footerReference w:type="default" r:id="rId9"/>
      <w:pgSz w:w="15840" w:h="12240" w:orient="landscape" w:code="1"/>
      <w:pgMar w:top="1843" w:right="2076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CB1" w:rsidRDefault="00DA3CB1" w:rsidP="00C7178F">
      <w:pPr>
        <w:spacing w:after="0" w:line="240" w:lineRule="auto"/>
      </w:pPr>
      <w:r>
        <w:separator/>
      </w:r>
    </w:p>
  </w:endnote>
  <w:endnote w:type="continuationSeparator" w:id="0">
    <w:p w:rsidR="00DA3CB1" w:rsidRDefault="00DA3CB1" w:rsidP="00C7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36A" w:rsidRDefault="000A336A">
    <w:pPr>
      <w:pStyle w:val="Piedepgina"/>
      <w:jc w:val="right"/>
    </w:pPr>
  </w:p>
  <w:p w:rsidR="00211964" w:rsidRPr="00B43D0F" w:rsidRDefault="00211964" w:rsidP="00211964">
    <w:pPr>
      <w:pStyle w:val="Piedepgina"/>
      <w:jc w:val="center"/>
      <w:rPr>
        <w:rFonts w:cstheme="minorHAnsi"/>
        <w:sz w:val="24"/>
      </w:rPr>
    </w:pPr>
    <w:r w:rsidRPr="00B43D0F">
      <w:rPr>
        <w:rFonts w:cstheme="minorHAnsi"/>
        <w:sz w:val="24"/>
        <w:lang w:val="es-ES"/>
      </w:rPr>
      <w:t>2° Calle Poniente y 2a Avenida Sur, #2, Distrito Apopa, San Salvador Oeste Tel. 2536-6200.</w:t>
    </w:r>
  </w:p>
  <w:p w:rsidR="000A336A" w:rsidRDefault="000A33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CB1" w:rsidRDefault="00DA3CB1" w:rsidP="00C7178F">
      <w:pPr>
        <w:spacing w:after="0" w:line="240" w:lineRule="auto"/>
      </w:pPr>
      <w:r>
        <w:separator/>
      </w:r>
    </w:p>
  </w:footnote>
  <w:footnote w:type="continuationSeparator" w:id="0">
    <w:p w:rsidR="00DA3CB1" w:rsidRDefault="00DA3CB1" w:rsidP="00C7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964" w:rsidRPr="00B43D0F" w:rsidRDefault="001F736E" w:rsidP="00211964">
    <w:pPr>
      <w:pStyle w:val="Piedepgina"/>
      <w:jc w:val="center"/>
      <w:rPr>
        <w:rFonts w:cstheme="minorHAnsi"/>
        <w:sz w:val="24"/>
      </w:rPr>
    </w:pPr>
    <w:r>
      <w:rPr>
        <w:noProof/>
        <w:lang w:eastAsia="es-SV"/>
      </w:rPr>
      <w:drawing>
        <wp:anchor distT="0" distB="0" distL="114300" distR="114300" simplePos="0" relativeHeight="251649536" behindDoc="0" locked="0" layoutInCell="1" allowOverlap="1" wp14:anchorId="6986A3C3" wp14:editId="6D45561E">
          <wp:simplePos x="0" y="0"/>
          <wp:positionH relativeFrom="page">
            <wp:align>center</wp:align>
          </wp:positionH>
          <wp:positionV relativeFrom="paragraph">
            <wp:posOffset>-395605</wp:posOffset>
          </wp:positionV>
          <wp:extent cx="6858635" cy="118300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964" w:rsidRPr="00B43D0F">
      <w:rPr>
        <w:rFonts w:cstheme="minorHAnsi"/>
        <w:sz w:val="24"/>
        <w:lang w:val="es-ES"/>
      </w:rPr>
      <w:t>2° Calle Poniente y 2a Avenida Sur, #2, Distrito Apopa, San Salvador Oeste Tel. 2536-6200.</w:t>
    </w:r>
  </w:p>
  <w:p w:rsidR="00C7178F" w:rsidRDefault="00C717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1E0B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240B8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5645A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5DFD"/>
    <w:multiLevelType w:val="hybridMultilevel"/>
    <w:tmpl w:val="1794024A"/>
    <w:lvl w:ilvl="0" w:tplc="FCF62D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403A6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61FAB"/>
    <w:multiLevelType w:val="hybridMultilevel"/>
    <w:tmpl w:val="39248DF8"/>
    <w:lvl w:ilvl="0" w:tplc="440A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6" w15:restartNumberingAfterBreak="0">
    <w:nsid w:val="2B2E369D"/>
    <w:multiLevelType w:val="hybridMultilevel"/>
    <w:tmpl w:val="5276ED54"/>
    <w:lvl w:ilvl="0" w:tplc="48A4405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5E75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C094E"/>
    <w:multiLevelType w:val="hybridMultilevel"/>
    <w:tmpl w:val="50A2F038"/>
    <w:lvl w:ilvl="0" w:tplc="6E6206C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A1F79"/>
    <w:multiLevelType w:val="hybridMultilevel"/>
    <w:tmpl w:val="5276ED54"/>
    <w:lvl w:ilvl="0" w:tplc="48A4405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E0ECD"/>
    <w:multiLevelType w:val="hybridMultilevel"/>
    <w:tmpl w:val="EBD4BE06"/>
    <w:lvl w:ilvl="0" w:tplc="C44E9C8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61EB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951A6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D057CB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07D5B"/>
    <w:multiLevelType w:val="multilevel"/>
    <w:tmpl w:val="4B30D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44008D6"/>
    <w:multiLevelType w:val="hybridMultilevel"/>
    <w:tmpl w:val="2D187F7A"/>
    <w:lvl w:ilvl="0" w:tplc="EB9A27C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D113C5"/>
    <w:multiLevelType w:val="hybridMultilevel"/>
    <w:tmpl w:val="FC76EF0E"/>
    <w:lvl w:ilvl="0" w:tplc="AE2A3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02B97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B2B2B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6384D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8A47CF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373F4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674EF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71AC2"/>
    <w:multiLevelType w:val="hybridMultilevel"/>
    <w:tmpl w:val="12828CAC"/>
    <w:lvl w:ilvl="0" w:tplc="8B6879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3E885786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4E7420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C43DB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06748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00470"/>
    <w:multiLevelType w:val="hybridMultilevel"/>
    <w:tmpl w:val="EBD4BE06"/>
    <w:lvl w:ilvl="0" w:tplc="C44E9C8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11AB4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769C0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41D00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3"/>
  </w:num>
  <w:num w:numId="5">
    <w:abstractNumId w:val="19"/>
  </w:num>
  <w:num w:numId="6">
    <w:abstractNumId w:val="25"/>
  </w:num>
  <w:num w:numId="7">
    <w:abstractNumId w:val="24"/>
  </w:num>
  <w:num w:numId="8">
    <w:abstractNumId w:val="12"/>
  </w:num>
  <w:num w:numId="9">
    <w:abstractNumId w:val="8"/>
  </w:num>
  <w:num w:numId="10">
    <w:abstractNumId w:val="22"/>
  </w:num>
  <w:num w:numId="11">
    <w:abstractNumId w:val="2"/>
  </w:num>
  <w:num w:numId="12">
    <w:abstractNumId w:val="9"/>
  </w:num>
  <w:num w:numId="13">
    <w:abstractNumId w:val="6"/>
  </w:num>
  <w:num w:numId="14">
    <w:abstractNumId w:val="29"/>
  </w:num>
  <w:num w:numId="15">
    <w:abstractNumId w:val="30"/>
  </w:num>
  <w:num w:numId="16">
    <w:abstractNumId w:val="20"/>
  </w:num>
  <w:num w:numId="17">
    <w:abstractNumId w:val="27"/>
  </w:num>
  <w:num w:numId="18">
    <w:abstractNumId w:val="15"/>
  </w:num>
  <w:num w:numId="19">
    <w:abstractNumId w:val="16"/>
  </w:num>
  <w:num w:numId="20">
    <w:abstractNumId w:val="4"/>
  </w:num>
  <w:num w:numId="21">
    <w:abstractNumId w:val="11"/>
  </w:num>
  <w:num w:numId="22">
    <w:abstractNumId w:val="26"/>
  </w:num>
  <w:num w:numId="23">
    <w:abstractNumId w:val="0"/>
  </w:num>
  <w:num w:numId="24">
    <w:abstractNumId w:val="17"/>
  </w:num>
  <w:num w:numId="25">
    <w:abstractNumId w:val="21"/>
  </w:num>
  <w:num w:numId="26">
    <w:abstractNumId w:val="28"/>
  </w:num>
  <w:num w:numId="27">
    <w:abstractNumId w:val="13"/>
  </w:num>
  <w:num w:numId="28">
    <w:abstractNumId w:val="1"/>
  </w:num>
  <w:num w:numId="29">
    <w:abstractNumId w:val="14"/>
  </w:num>
  <w:num w:numId="30">
    <w:abstractNumId w:val="2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8F"/>
    <w:rsid w:val="0002234B"/>
    <w:rsid w:val="00026052"/>
    <w:rsid w:val="00041462"/>
    <w:rsid w:val="000415C1"/>
    <w:rsid w:val="00052067"/>
    <w:rsid w:val="00053399"/>
    <w:rsid w:val="000651B8"/>
    <w:rsid w:val="000776D6"/>
    <w:rsid w:val="00096182"/>
    <w:rsid w:val="000A336A"/>
    <w:rsid w:val="000B3AE2"/>
    <w:rsid w:val="000C50C7"/>
    <w:rsid w:val="000C7A95"/>
    <w:rsid w:val="000E039C"/>
    <w:rsid w:val="000F131B"/>
    <w:rsid w:val="000F5B03"/>
    <w:rsid w:val="00100A6D"/>
    <w:rsid w:val="00111423"/>
    <w:rsid w:val="00111628"/>
    <w:rsid w:val="00113D59"/>
    <w:rsid w:val="001266AB"/>
    <w:rsid w:val="00136DA9"/>
    <w:rsid w:val="0014069E"/>
    <w:rsid w:val="00145391"/>
    <w:rsid w:val="00150E68"/>
    <w:rsid w:val="00153246"/>
    <w:rsid w:val="00164E5D"/>
    <w:rsid w:val="00167347"/>
    <w:rsid w:val="001A5E4F"/>
    <w:rsid w:val="001B1A24"/>
    <w:rsid w:val="001C29DC"/>
    <w:rsid w:val="001C36EC"/>
    <w:rsid w:val="001C544B"/>
    <w:rsid w:val="001D47EC"/>
    <w:rsid w:val="001E4654"/>
    <w:rsid w:val="001E573E"/>
    <w:rsid w:val="001F736E"/>
    <w:rsid w:val="00211964"/>
    <w:rsid w:val="00213CE7"/>
    <w:rsid w:val="00220A68"/>
    <w:rsid w:val="00220E72"/>
    <w:rsid w:val="00232E8C"/>
    <w:rsid w:val="00247779"/>
    <w:rsid w:val="00251349"/>
    <w:rsid w:val="00253CB6"/>
    <w:rsid w:val="00257214"/>
    <w:rsid w:val="00261059"/>
    <w:rsid w:val="002721F6"/>
    <w:rsid w:val="00287729"/>
    <w:rsid w:val="00290BF7"/>
    <w:rsid w:val="002A4E81"/>
    <w:rsid w:val="002B5032"/>
    <w:rsid w:val="002D2FFA"/>
    <w:rsid w:val="002E2101"/>
    <w:rsid w:val="002E2256"/>
    <w:rsid w:val="002E5CB3"/>
    <w:rsid w:val="003465AE"/>
    <w:rsid w:val="00350701"/>
    <w:rsid w:val="00360973"/>
    <w:rsid w:val="00362CEC"/>
    <w:rsid w:val="00364BEF"/>
    <w:rsid w:val="00376608"/>
    <w:rsid w:val="0038016D"/>
    <w:rsid w:val="003907CD"/>
    <w:rsid w:val="00391E92"/>
    <w:rsid w:val="00394BE3"/>
    <w:rsid w:val="003969F4"/>
    <w:rsid w:val="003B1B63"/>
    <w:rsid w:val="003F2907"/>
    <w:rsid w:val="00405FCB"/>
    <w:rsid w:val="004133D1"/>
    <w:rsid w:val="00426F39"/>
    <w:rsid w:val="00427633"/>
    <w:rsid w:val="00434EAD"/>
    <w:rsid w:val="00450037"/>
    <w:rsid w:val="00454AA2"/>
    <w:rsid w:val="004577CD"/>
    <w:rsid w:val="0046673D"/>
    <w:rsid w:val="0048406D"/>
    <w:rsid w:val="00487E4C"/>
    <w:rsid w:val="004922C2"/>
    <w:rsid w:val="00492327"/>
    <w:rsid w:val="004939DA"/>
    <w:rsid w:val="004A0C3E"/>
    <w:rsid w:val="004A4674"/>
    <w:rsid w:val="004B1E78"/>
    <w:rsid w:val="004B5DAF"/>
    <w:rsid w:val="004C1A9B"/>
    <w:rsid w:val="004C3E46"/>
    <w:rsid w:val="004D092F"/>
    <w:rsid w:val="004D1B35"/>
    <w:rsid w:val="004D7F46"/>
    <w:rsid w:val="004E2851"/>
    <w:rsid w:val="004E6A3F"/>
    <w:rsid w:val="004F44A7"/>
    <w:rsid w:val="0050300A"/>
    <w:rsid w:val="0051167B"/>
    <w:rsid w:val="00516286"/>
    <w:rsid w:val="00516BD1"/>
    <w:rsid w:val="00520CD6"/>
    <w:rsid w:val="00527B83"/>
    <w:rsid w:val="00552027"/>
    <w:rsid w:val="00552947"/>
    <w:rsid w:val="00554F6A"/>
    <w:rsid w:val="00556616"/>
    <w:rsid w:val="005813F7"/>
    <w:rsid w:val="005924CA"/>
    <w:rsid w:val="005A3BB2"/>
    <w:rsid w:val="005A4DCA"/>
    <w:rsid w:val="005B50C0"/>
    <w:rsid w:val="005B5214"/>
    <w:rsid w:val="005E475C"/>
    <w:rsid w:val="005E5E1B"/>
    <w:rsid w:val="005F204C"/>
    <w:rsid w:val="006051AB"/>
    <w:rsid w:val="00612CC2"/>
    <w:rsid w:val="00620FB9"/>
    <w:rsid w:val="00621C5E"/>
    <w:rsid w:val="00624276"/>
    <w:rsid w:val="00653E38"/>
    <w:rsid w:val="006569D2"/>
    <w:rsid w:val="006607B1"/>
    <w:rsid w:val="00673C7A"/>
    <w:rsid w:val="00681490"/>
    <w:rsid w:val="00683AB1"/>
    <w:rsid w:val="00687AA3"/>
    <w:rsid w:val="00693D2C"/>
    <w:rsid w:val="0069472A"/>
    <w:rsid w:val="006A4DD0"/>
    <w:rsid w:val="006B7F22"/>
    <w:rsid w:val="006D52FB"/>
    <w:rsid w:val="006E3241"/>
    <w:rsid w:val="006E3A45"/>
    <w:rsid w:val="006E771D"/>
    <w:rsid w:val="006F64AC"/>
    <w:rsid w:val="0070670B"/>
    <w:rsid w:val="00712E3B"/>
    <w:rsid w:val="00730A40"/>
    <w:rsid w:val="00737E99"/>
    <w:rsid w:val="007555CA"/>
    <w:rsid w:val="0075651F"/>
    <w:rsid w:val="007678DF"/>
    <w:rsid w:val="00774DC0"/>
    <w:rsid w:val="0077773F"/>
    <w:rsid w:val="0078446F"/>
    <w:rsid w:val="00784CBA"/>
    <w:rsid w:val="007A5FCB"/>
    <w:rsid w:val="007D16DF"/>
    <w:rsid w:val="007D3206"/>
    <w:rsid w:val="007E60B9"/>
    <w:rsid w:val="007F3DF5"/>
    <w:rsid w:val="00801437"/>
    <w:rsid w:val="008063FD"/>
    <w:rsid w:val="00811DFF"/>
    <w:rsid w:val="0081206B"/>
    <w:rsid w:val="0082227D"/>
    <w:rsid w:val="00825DBA"/>
    <w:rsid w:val="00832E45"/>
    <w:rsid w:val="00833F58"/>
    <w:rsid w:val="00860954"/>
    <w:rsid w:val="00864E63"/>
    <w:rsid w:val="00871215"/>
    <w:rsid w:val="008756F4"/>
    <w:rsid w:val="00880E5C"/>
    <w:rsid w:val="00885BEE"/>
    <w:rsid w:val="008878E8"/>
    <w:rsid w:val="008910FD"/>
    <w:rsid w:val="008A3F55"/>
    <w:rsid w:val="008A4A46"/>
    <w:rsid w:val="008B6CA0"/>
    <w:rsid w:val="00915C2A"/>
    <w:rsid w:val="0092067C"/>
    <w:rsid w:val="00922A65"/>
    <w:rsid w:val="009238E2"/>
    <w:rsid w:val="00932673"/>
    <w:rsid w:val="00947FBD"/>
    <w:rsid w:val="00950B64"/>
    <w:rsid w:val="00952766"/>
    <w:rsid w:val="0096032C"/>
    <w:rsid w:val="009743BB"/>
    <w:rsid w:val="00980268"/>
    <w:rsid w:val="0099610E"/>
    <w:rsid w:val="009A546F"/>
    <w:rsid w:val="009B2867"/>
    <w:rsid w:val="009C1C77"/>
    <w:rsid w:val="009C2B3C"/>
    <w:rsid w:val="009E122F"/>
    <w:rsid w:val="009E1C0E"/>
    <w:rsid w:val="009E2FB6"/>
    <w:rsid w:val="009E3240"/>
    <w:rsid w:val="009F42E6"/>
    <w:rsid w:val="00A01203"/>
    <w:rsid w:val="00A04A36"/>
    <w:rsid w:val="00A237E8"/>
    <w:rsid w:val="00A27EAE"/>
    <w:rsid w:val="00A33D69"/>
    <w:rsid w:val="00A3510D"/>
    <w:rsid w:val="00A43346"/>
    <w:rsid w:val="00A46992"/>
    <w:rsid w:val="00A50680"/>
    <w:rsid w:val="00A776E8"/>
    <w:rsid w:val="00A85AA9"/>
    <w:rsid w:val="00A8775C"/>
    <w:rsid w:val="00A9463F"/>
    <w:rsid w:val="00AA06A0"/>
    <w:rsid w:val="00AB1528"/>
    <w:rsid w:val="00AB4E4A"/>
    <w:rsid w:val="00AD3B95"/>
    <w:rsid w:val="00AE1D49"/>
    <w:rsid w:val="00AF6D2E"/>
    <w:rsid w:val="00AF7D10"/>
    <w:rsid w:val="00B010FF"/>
    <w:rsid w:val="00B05591"/>
    <w:rsid w:val="00B233F6"/>
    <w:rsid w:val="00B34A68"/>
    <w:rsid w:val="00B438B0"/>
    <w:rsid w:val="00B43FD4"/>
    <w:rsid w:val="00B51E0F"/>
    <w:rsid w:val="00B55A8D"/>
    <w:rsid w:val="00B62F14"/>
    <w:rsid w:val="00B65CE1"/>
    <w:rsid w:val="00B70500"/>
    <w:rsid w:val="00B72589"/>
    <w:rsid w:val="00B80D87"/>
    <w:rsid w:val="00B84443"/>
    <w:rsid w:val="00B9100C"/>
    <w:rsid w:val="00B95AE7"/>
    <w:rsid w:val="00BA1302"/>
    <w:rsid w:val="00BB1E58"/>
    <w:rsid w:val="00BD7411"/>
    <w:rsid w:val="00BE3476"/>
    <w:rsid w:val="00BE4446"/>
    <w:rsid w:val="00BE6867"/>
    <w:rsid w:val="00BF2E84"/>
    <w:rsid w:val="00BF3369"/>
    <w:rsid w:val="00C002D5"/>
    <w:rsid w:val="00C15944"/>
    <w:rsid w:val="00C40ACA"/>
    <w:rsid w:val="00C41345"/>
    <w:rsid w:val="00C42F72"/>
    <w:rsid w:val="00C557C3"/>
    <w:rsid w:val="00C65655"/>
    <w:rsid w:val="00C7178F"/>
    <w:rsid w:val="00C75F95"/>
    <w:rsid w:val="00C83001"/>
    <w:rsid w:val="00CA5E58"/>
    <w:rsid w:val="00CA7049"/>
    <w:rsid w:val="00CC1E96"/>
    <w:rsid w:val="00CC35F1"/>
    <w:rsid w:val="00CD0163"/>
    <w:rsid w:val="00CF59C1"/>
    <w:rsid w:val="00D067AA"/>
    <w:rsid w:val="00D17583"/>
    <w:rsid w:val="00D23BAB"/>
    <w:rsid w:val="00D26056"/>
    <w:rsid w:val="00D279FC"/>
    <w:rsid w:val="00D35E51"/>
    <w:rsid w:val="00D372F0"/>
    <w:rsid w:val="00D54508"/>
    <w:rsid w:val="00D5673C"/>
    <w:rsid w:val="00D62255"/>
    <w:rsid w:val="00D806E4"/>
    <w:rsid w:val="00D8738D"/>
    <w:rsid w:val="00D95143"/>
    <w:rsid w:val="00D976A3"/>
    <w:rsid w:val="00DA3CB1"/>
    <w:rsid w:val="00DA3D52"/>
    <w:rsid w:val="00DD10F6"/>
    <w:rsid w:val="00DD6651"/>
    <w:rsid w:val="00DE05BA"/>
    <w:rsid w:val="00DF7175"/>
    <w:rsid w:val="00E03FE0"/>
    <w:rsid w:val="00E12BD7"/>
    <w:rsid w:val="00E26675"/>
    <w:rsid w:val="00E321EE"/>
    <w:rsid w:val="00E36981"/>
    <w:rsid w:val="00E46945"/>
    <w:rsid w:val="00E81E2E"/>
    <w:rsid w:val="00E908BD"/>
    <w:rsid w:val="00E96E59"/>
    <w:rsid w:val="00EA4A87"/>
    <w:rsid w:val="00EB3667"/>
    <w:rsid w:val="00EC0CDC"/>
    <w:rsid w:val="00EC4B7A"/>
    <w:rsid w:val="00EE6B36"/>
    <w:rsid w:val="00EF22C6"/>
    <w:rsid w:val="00F2371B"/>
    <w:rsid w:val="00F3148B"/>
    <w:rsid w:val="00F3177F"/>
    <w:rsid w:val="00F33125"/>
    <w:rsid w:val="00F57DD8"/>
    <w:rsid w:val="00F66FCC"/>
    <w:rsid w:val="00F7631E"/>
    <w:rsid w:val="00F80694"/>
    <w:rsid w:val="00F840B4"/>
    <w:rsid w:val="00FB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05F6612-D257-4AA2-B43A-15738284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7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17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1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78F"/>
  </w:style>
  <w:style w:type="paragraph" w:styleId="Piedepgina">
    <w:name w:val="footer"/>
    <w:basedOn w:val="Normal"/>
    <w:link w:val="PiedepginaCar"/>
    <w:uiPriority w:val="99"/>
    <w:unhideWhenUsed/>
    <w:rsid w:val="00C71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78F"/>
  </w:style>
  <w:style w:type="paragraph" w:styleId="Textodeglobo">
    <w:name w:val="Balloon Text"/>
    <w:basedOn w:val="Normal"/>
    <w:link w:val="TextodegloboCar"/>
    <w:uiPriority w:val="99"/>
    <w:semiHidden/>
    <w:unhideWhenUsed/>
    <w:rsid w:val="00C7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78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22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E4E1-627D-4CA4-BD30-77A28681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LYNDARM</dc:creator>
  <cp:lastModifiedBy>JHONY_CCORRIENTES</cp:lastModifiedBy>
  <cp:revision>2</cp:revision>
  <cp:lastPrinted>2024-04-08T22:16:00Z</cp:lastPrinted>
  <dcterms:created xsi:type="dcterms:W3CDTF">2024-07-15T20:22:00Z</dcterms:created>
  <dcterms:modified xsi:type="dcterms:W3CDTF">2024-07-15T20:22:00Z</dcterms:modified>
</cp:coreProperties>
</file>