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F0C3" w14:textId="73F9808D" w:rsidR="00711951" w:rsidRPr="00EE2A31" w:rsidRDefault="00B80B9B" w:rsidP="00B80B9B">
      <w:pPr>
        <w:jc w:val="center"/>
        <w:rPr>
          <w:rFonts w:ascii="Montserrat" w:hAnsi="Montserrat"/>
          <w:sz w:val="24"/>
          <w:szCs w:val="24"/>
        </w:rPr>
      </w:pPr>
      <w:r w:rsidRPr="00EE2A31">
        <w:rPr>
          <w:rFonts w:ascii="Montserrat" w:hAnsi="Montserrat"/>
          <w:sz w:val="24"/>
          <w:szCs w:val="24"/>
        </w:rPr>
        <w:t xml:space="preserve">Estadísticas de </w:t>
      </w:r>
      <w:r w:rsidR="00660FE1" w:rsidRPr="00EE2A31">
        <w:rPr>
          <w:rFonts w:ascii="Montserrat" w:hAnsi="Montserrat"/>
          <w:sz w:val="24"/>
          <w:szCs w:val="24"/>
        </w:rPr>
        <w:t>Delegación</w:t>
      </w:r>
      <w:r w:rsidRPr="00EE2A31">
        <w:rPr>
          <w:rFonts w:ascii="Montserrat" w:hAnsi="Montserrat"/>
          <w:sz w:val="24"/>
          <w:szCs w:val="24"/>
        </w:rPr>
        <w:t xml:space="preserve"> Contravencional en periodo de </w:t>
      </w:r>
      <w:r w:rsidR="00EE2A31" w:rsidRPr="00EE2A31">
        <w:rPr>
          <w:rFonts w:ascii="Montserrat" w:hAnsi="Montserrat"/>
          <w:sz w:val="24"/>
          <w:szCs w:val="24"/>
        </w:rPr>
        <w:t>Enero</w:t>
      </w:r>
      <w:r w:rsidRPr="00EE2A31">
        <w:rPr>
          <w:rFonts w:ascii="Montserrat" w:hAnsi="Montserrat"/>
          <w:sz w:val="24"/>
          <w:szCs w:val="24"/>
        </w:rPr>
        <w:t xml:space="preserve"> a </w:t>
      </w:r>
      <w:r w:rsidR="00EE2A31" w:rsidRPr="00EE2A31">
        <w:rPr>
          <w:rFonts w:ascii="Montserrat" w:hAnsi="Montserrat"/>
          <w:sz w:val="24"/>
          <w:szCs w:val="24"/>
        </w:rPr>
        <w:t>Marzo</w:t>
      </w:r>
      <w:r w:rsidRPr="00EE2A31">
        <w:rPr>
          <w:rFonts w:ascii="Montserrat" w:hAnsi="Montserrat"/>
          <w:sz w:val="24"/>
          <w:szCs w:val="24"/>
        </w:rPr>
        <w:t xml:space="preserve"> 202</w:t>
      </w:r>
      <w:r w:rsidR="00EE2A31" w:rsidRPr="00EE2A31">
        <w:rPr>
          <w:rFonts w:ascii="Montserrat" w:hAnsi="Montserrat"/>
          <w:sz w:val="24"/>
          <w:szCs w:val="24"/>
        </w:rPr>
        <w:t>4</w:t>
      </w:r>
    </w:p>
    <w:p w14:paraId="27263EA2" w14:textId="77777777" w:rsidR="00711951" w:rsidRPr="00206781" w:rsidRDefault="00711951" w:rsidP="00711951">
      <w:pPr>
        <w:rPr>
          <w:rFonts w:ascii="Montserrat" w:hAnsi="Montserrat"/>
        </w:rPr>
      </w:pPr>
    </w:p>
    <w:p w14:paraId="013DA5DF" w14:textId="77777777" w:rsidR="00711951" w:rsidRPr="00206781" w:rsidRDefault="00B80B9B" w:rsidP="00711951">
      <w:pPr>
        <w:rPr>
          <w:rFonts w:ascii="Montserrat" w:hAnsi="Montserrat"/>
        </w:rPr>
      </w:pPr>
      <w:r>
        <w:rPr>
          <w:rFonts w:ascii="Montserrat" w:hAnsi="Montserrat"/>
        </w:rPr>
        <w:t>DENUNCIAS</w:t>
      </w:r>
    </w:p>
    <w:tbl>
      <w:tblPr>
        <w:tblStyle w:val="Tablaconcuadrcula1clara"/>
        <w:tblW w:w="2689" w:type="dxa"/>
        <w:tblLook w:val="04A0" w:firstRow="1" w:lastRow="0" w:firstColumn="1" w:lastColumn="0" w:noHBand="0" w:noVBand="1"/>
      </w:tblPr>
      <w:tblGrid>
        <w:gridCol w:w="1330"/>
        <w:gridCol w:w="1441"/>
      </w:tblGrid>
      <w:tr w:rsidR="00711951" w:rsidRPr="00206781" w14:paraId="12375E55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  <w:hideMark/>
          </w:tcPr>
          <w:p w14:paraId="35110765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336" w:type="dxa"/>
            <w:hideMark/>
          </w:tcPr>
          <w:p w14:paraId="69558E0C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Denuncias</w:t>
            </w:r>
          </w:p>
        </w:tc>
      </w:tr>
      <w:tr w:rsidR="00711951" w:rsidRPr="00206781" w14:paraId="2FBE29FA" w14:textId="77777777" w:rsidTr="006D6C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712A9753" w14:textId="797ED1B6" w:rsidR="00711951" w:rsidRPr="00206781" w:rsidRDefault="006D6CDD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336" w:type="dxa"/>
            <w:hideMark/>
          </w:tcPr>
          <w:p w14:paraId="09FC510E" w14:textId="3F10011B" w:rsidR="00711951" w:rsidRPr="00206781" w:rsidRDefault="006D6CDD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36</w:t>
            </w:r>
          </w:p>
        </w:tc>
      </w:tr>
      <w:tr w:rsidR="00711951" w:rsidRPr="00206781" w14:paraId="658BB13C" w14:textId="77777777" w:rsidTr="006D6CDD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2D5D35E3" w14:textId="07254158" w:rsidR="00711951" w:rsidRPr="00206781" w:rsidRDefault="006D6CDD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336" w:type="dxa"/>
            <w:hideMark/>
          </w:tcPr>
          <w:p w14:paraId="6BE905AD" w14:textId="375E1ECF" w:rsidR="00711951" w:rsidRPr="00206781" w:rsidRDefault="006D6CDD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22</w:t>
            </w:r>
          </w:p>
        </w:tc>
      </w:tr>
      <w:tr w:rsidR="00711951" w:rsidRPr="00206781" w14:paraId="0B1F872F" w14:textId="77777777" w:rsidTr="006D6C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3" w:type="dxa"/>
          </w:tcPr>
          <w:p w14:paraId="3B1B4083" w14:textId="50567F2E" w:rsidR="00711951" w:rsidRPr="00206781" w:rsidRDefault="006D6CDD" w:rsidP="007E1EEA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336" w:type="dxa"/>
            <w:hideMark/>
          </w:tcPr>
          <w:p w14:paraId="1F86A2C8" w14:textId="53D645CC" w:rsidR="00711951" w:rsidRPr="00206781" w:rsidRDefault="00711951" w:rsidP="007E1EE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2</w:t>
            </w:r>
            <w:r w:rsidR="006D6CDD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</w:tbl>
    <w:p w14:paraId="5391D636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CD3C20A" w14:textId="5E4078AD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02C7CD1B" w14:textId="3358A8CA" w:rsidR="00711951" w:rsidRDefault="006D6CDD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noProof/>
          <w:sz w:val="24"/>
          <w:lang w:val="es-ES" w:eastAsia="es-ES"/>
        </w:rPr>
        <w:drawing>
          <wp:inline distT="0" distB="0" distL="0" distR="0" wp14:anchorId="6B50220D" wp14:editId="51AD068F">
            <wp:extent cx="2988000" cy="1944000"/>
            <wp:effectExtent l="0" t="0" r="3175" b="18415"/>
            <wp:docPr id="184317143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14459F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2BFC32D" w14:textId="77777777" w:rsidR="0071195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DESESTIMACIONES</w:t>
      </w:r>
    </w:p>
    <w:p w14:paraId="61AF5ABB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3104" w:type="dxa"/>
        <w:tblLook w:val="04A0" w:firstRow="1" w:lastRow="0" w:firstColumn="1" w:lastColumn="0" w:noHBand="0" w:noVBand="1"/>
      </w:tblPr>
      <w:tblGrid>
        <w:gridCol w:w="1330"/>
        <w:gridCol w:w="2186"/>
      </w:tblGrid>
      <w:tr w:rsidR="00711951" w:rsidRPr="00206781" w14:paraId="2DA6602F" w14:textId="77777777" w:rsidTr="00EE2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hideMark/>
          </w:tcPr>
          <w:p w14:paraId="1F38996B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186" w:type="dxa"/>
            <w:hideMark/>
          </w:tcPr>
          <w:p w14:paraId="59625D69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Desestimaciones</w:t>
            </w:r>
          </w:p>
        </w:tc>
      </w:tr>
      <w:tr w:rsidR="00EE2A31" w:rsidRPr="00206781" w14:paraId="031AF9C5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62C4B926" w14:textId="1B0318BE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2186" w:type="dxa"/>
          </w:tcPr>
          <w:p w14:paraId="2FFFCAFC" w14:textId="3458019D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6</w:t>
            </w:r>
          </w:p>
        </w:tc>
      </w:tr>
      <w:tr w:rsidR="00EE2A31" w:rsidRPr="00206781" w14:paraId="28772855" w14:textId="77777777" w:rsidTr="00EE2A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3CECB456" w14:textId="60D8DE81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2186" w:type="dxa"/>
          </w:tcPr>
          <w:p w14:paraId="5FCF22CE" w14:textId="2F42C66B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EE2A31" w:rsidRPr="00206781" w14:paraId="60D54BBA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14:paraId="7E530324" w14:textId="7ADCDE84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2186" w:type="dxa"/>
          </w:tcPr>
          <w:p w14:paraId="51AC7A1B" w14:textId="2FC2BD4E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</w:tbl>
    <w:p w14:paraId="71C70A51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BE3A6E7" w14:textId="6A626F52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786F842" w14:textId="5D297627" w:rsidR="00711951" w:rsidRDefault="006D6CDD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noProof/>
          <w:sz w:val="24"/>
          <w:lang w:val="es-ES" w:eastAsia="es-ES"/>
        </w:rPr>
        <w:lastRenderedPageBreak/>
        <w:drawing>
          <wp:inline distT="0" distB="0" distL="0" distR="0" wp14:anchorId="1AA6A7C3" wp14:editId="4AD158B4">
            <wp:extent cx="2988000" cy="1944000"/>
            <wp:effectExtent l="0" t="0" r="3175" b="18415"/>
            <wp:docPr id="177381132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EEDE0F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49C9B65F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PROCESOS SANCIONATORIOS</w:t>
      </w:r>
    </w:p>
    <w:p w14:paraId="5A663AF1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924" w:type="dxa"/>
        <w:tblLook w:val="04A0" w:firstRow="1" w:lastRow="0" w:firstColumn="1" w:lastColumn="0" w:noHBand="0" w:noVBand="1"/>
      </w:tblPr>
      <w:tblGrid>
        <w:gridCol w:w="1330"/>
        <w:gridCol w:w="1934"/>
      </w:tblGrid>
      <w:tr w:rsidR="00711951" w:rsidRPr="00206781" w14:paraId="737C2333" w14:textId="77777777" w:rsidTr="00EE2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hideMark/>
          </w:tcPr>
          <w:p w14:paraId="1EF026FD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934" w:type="dxa"/>
            <w:hideMark/>
          </w:tcPr>
          <w:p w14:paraId="7E147FEA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Procesos Sancionatorios</w:t>
            </w:r>
          </w:p>
        </w:tc>
      </w:tr>
      <w:tr w:rsidR="00EE2A31" w:rsidRPr="00206781" w14:paraId="443E3293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7C5F4AA5" w14:textId="0BF93994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934" w:type="dxa"/>
          </w:tcPr>
          <w:p w14:paraId="6EBF842A" w14:textId="5CE52948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8</w:t>
            </w:r>
          </w:p>
        </w:tc>
      </w:tr>
      <w:tr w:rsidR="00EE2A31" w:rsidRPr="00206781" w14:paraId="5A3B2FEB" w14:textId="77777777" w:rsidTr="00EE2A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126F9DC" w14:textId="7322ABBE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934" w:type="dxa"/>
          </w:tcPr>
          <w:p w14:paraId="6F4C3932" w14:textId="49C549BE" w:rsidR="00EE2A31" w:rsidRPr="00206781" w:rsidRDefault="0062355F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6</w:t>
            </w:r>
          </w:p>
        </w:tc>
      </w:tr>
      <w:tr w:rsidR="00EE2A31" w:rsidRPr="00206781" w14:paraId="6E80ACFF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BAA34D9" w14:textId="14239515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934" w:type="dxa"/>
          </w:tcPr>
          <w:p w14:paraId="3BBA2094" w14:textId="255608E4" w:rsidR="00EE2A31" w:rsidRPr="00206781" w:rsidRDefault="0062355F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</w:tbl>
    <w:p w14:paraId="5979ADAB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2C085CDA" w14:textId="10310585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57DEE7F8" w14:textId="24F24696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D75E798" w14:textId="2C142FF9" w:rsidR="00711951" w:rsidRPr="00206781" w:rsidRDefault="00EE2A3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noProof/>
          <w:sz w:val="24"/>
          <w:lang w:val="es-ES" w:eastAsia="es-ES"/>
        </w:rPr>
        <w:drawing>
          <wp:inline distT="0" distB="0" distL="0" distR="0" wp14:anchorId="1D812685" wp14:editId="3DA6471B">
            <wp:extent cx="2988000" cy="2090057"/>
            <wp:effectExtent l="0" t="0" r="3175" b="5715"/>
            <wp:docPr id="164318488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42652B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4130103E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BEBEA65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DD7CB22" w14:textId="77777777" w:rsidR="00A57AA6" w:rsidRDefault="00A57AA6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A988667" w14:textId="77777777" w:rsidR="00A57AA6" w:rsidRDefault="00A57AA6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48692051" w14:textId="77777777" w:rsidR="00A57AA6" w:rsidRDefault="00A57AA6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0409A9DB" w14:textId="77777777" w:rsidR="00A57AA6" w:rsidRDefault="00A57AA6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01C5F5A7" w14:textId="77777777" w:rsidR="00A57AA6" w:rsidRDefault="00A57AA6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548C16A8" w14:textId="77777777" w:rsidR="0071195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lastRenderedPageBreak/>
        <w:t>PLANES DE PAGO</w:t>
      </w:r>
    </w:p>
    <w:p w14:paraId="1D4E0F83" w14:textId="77777777" w:rsidR="00B80B9B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526" w:type="dxa"/>
        <w:tblLook w:val="04A0" w:firstRow="1" w:lastRow="0" w:firstColumn="1" w:lastColumn="0" w:noHBand="0" w:noVBand="1"/>
      </w:tblPr>
      <w:tblGrid>
        <w:gridCol w:w="1330"/>
        <w:gridCol w:w="1200"/>
      </w:tblGrid>
      <w:tr w:rsidR="00711951" w:rsidRPr="00206781" w14:paraId="28A308C0" w14:textId="77777777" w:rsidTr="007E1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hideMark/>
          </w:tcPr>
          <w:p w14:paraId="56B5DE51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200" w:type="dxa"/>
            <w:hideMark/>
          </w:tcPr>
          <w:p w14:paraId="1A1EBF71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Plan de pago</w:t>
            </w:r>
          </w:p>
        </w:tc>
      </w:tr>
      <w:tr w:rsidR="00EE2A31" w:rsidRPr="00206781" w14:paraId="6DC447F4" w14:textId="77777777" w:rsidTr="006D6C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14:paraId="11937828" w14:textId="741CC253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200" w:type="dxa"/>
          </w:tcPr>
          <w:p w14:paraId="6175582B" w14:textId="4D6008B7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0</w:t>
            </w:r>
          </w:p>
        </w:tc>
      </w:tr>
      <w:tr w:rsidR="00EE2A31" w:rsidRPr="00206781" w14:paraId="37E148D0" w14:textId="77777777" w:rsidTr="006D6CD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14:paraId="1E094FC8" w14:textId="0E57F18D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200" w:type="dxa"/>
            <w:noWrap/>
          </w:tcPr>
          <w:p w14:paraId="6646741C" w14:textId="783B24BA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  <w:tr w:rsidR="00EE2A31" w:rsidRPr="00206781" w14:paraId="553A36C6" w14:textId="77777777" w:rsidTr="006D6CD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</w:tcPr>
          <w:p w14:paraId="58B329F4" w14:textId="5EDA6A63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200" w:type="dxa"/>
          </w:tcPr>
          <w:p w14:paraId="6C5D6009" w14:textId="0FFCE205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</w:t>
            </w:r>
          </w:p>
        </w:tc>
      </w:tr>
    </w:tbl>
    <w:p w14:paraId="35542D5C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95CFDAE" w14:textId="5A30A957" w:rsidR="00711951" w:rsidRPr="00206781" w:rsidRDefault="00EE2A3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noProof/>
          <w:sz w:val="24"/>
          <w:lang w:val="es-ES" w:eastAsia="es-ES"/>
        </w:rPr>
        <w:drawing>
          <wp:inline distT="0" distB="0" distL="0" distR="0" wp14:anchorId="17DD4B38" wp14:editId="1A0E9995">
            <wp:extent cx="2988000" cy="2090057"/>
            <wp:effectExtent l="0" t="0" r="3175" b="5715"/>
            <wp:docPr id="109262719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F7D058D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A4AF079" w14:textId="77777777" w:rsidR="00711951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ESQUELAS INTERPUESTAS</w:t>
      </w:r>
    </w:p>
    <w:p w14:paraId="27F854B5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382" w:type="dxa"/>
        <w:tblLook w:val="04A0" w:firstRow="1" w:lastRow="0" w:firstColumn="1" w:lastColumn="0" w:noHBand="0" w:noVBand="1"/>
      </w:tblPr>
      <w:tblGrid>
        <w:gridCol w:w="1330"/>
        <w:gridCol w:w="1241"/>
      </w:tblGrid>
      <w:tr w:rsidR="00711951" w:rsidRPr="00206781" w14:paraId="206AEF30" w14:textId="77777777" w:rsidTr="00EE2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  <w:hideMark/>
          </w:tcPr>
          <w:p w14:paraId="7CD67C3E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241" w:type="dxa"/>
            <w:hideMark/>
          </w:tcPr>
          <w:p w14:paraId="4B694438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Esquelas</w:t>
            </w:r>
          </w:p>
        </w:tc>
      </w:tr>
      <w:tr w:rsidR="00EE2A31" w:rsidRPr="00206781" w14:paraId="52492668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4166CBEB" w14:textId="0D3A64D9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241" w:type="dxa"/>
          </w:tcPr>
          <w:p w14:paraId="1FA9DB27" w14:textId="54A4F831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12</w:t>
            </w:r>
          </w:p>
        </w:tc>
      </w:tr>
      <w:tr w:rsidR="00EE2A31" w:rsidRPr="00206781" w14:paraId="4637D8A8" w14:textId="77777777" w:rsidTr="00EE2A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5B53494F" w14:textId="143BA08B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241" w:type="dxa"/>
          </w:tcPr>
          <w:p w14:paraId="25303A43" w14:textId="3C904586" w:rsidR="00EE2A31" w:rsidRPr="00206781" w:rsidRDefault="00EE2A31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19</w:t>
            </w:r>
          </w:p>
        </w:tc>
      </w:tr>
      <w:tr w:rsidR="00EE2A31" w:rsidRPr="00206781" w14:paraId="6A0F8A9B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14:paraId="677F8756" w14:textId="4E8AA174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241" w:type="dxa"/>
          </w:tcPr>
          <w:p w14:paraId="2277D412" w14:textId="296A555B" w:rsidR="00EE2A31" w:rsidRPr="00206781" w:rsidRDefault="00A57AA6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20</w:t>
            </w:r>
          </w:p>
        </w:tc>
      </w:tr>
    </w:tbl>
    <w:p w14:paraId="714554DE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0BD5AC75" w14:textId="29F7B832" w:rsidR="00711951" w:rsidRPr="00206781" w:rsidRDefault="00EE2A3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noProof/>
          <w:sz w:val="24"/>
          <w:lang w:val="es-ES" w:eastAsia="es-ES"/>
        </w:rPr>
        <w:drawing>
          <wp:inline distT="0" distB="0" distL="0" distR="0" wp14:anchorId="1F6231CE" wp14:editId="4CC0DC7F">
            <wp:extent cx="2988000" cy="2090057"/>
            <wp:effectExtent l="0" t="0" r="3175" b="5715"/>
            <wp:docPr id="70092944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45B5E2" w14:textId="6F44F0FC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505F6D7A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7F7BB02" w14:textId="77777777" w:rsidR="00711951" w:rsidRPr="00206781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sz w:val="24"/>
        </w:rPr>
        <w:t>RESOLUCIONES EMITIDAS</w:t>
      </w:r>
    </w:p>
    <w:p w14:paraId="75CE25D2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tbl>
      <w:tblPr>
        <w:tblStyle w:val="Tablaconcuadrcula1clara"/>
        <w:tblW w:w="2710" w:type="dxa"/>
        <w:tblLook w:val="04A0" w:firstRow="1" w:lastRow="0" w:firstColumn="1" w:lastColumn="0" w:noHBand="0" w:noVBand="1"/>
      </w:tblPr>
      <w:tblGrid>
        <w:gridCol w:w="1330"/>
        <w:gridCol w:w="1743"/>
      </w:tblGrid>
      <w:tr w:rsidR="00711951" w:rsidRPr="00206781" w14:paraId="0242CB4F" w14:textId="77777777" w:rsidTr="00EE2A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  <w:hideMark/>
          </w:tcPr>
          <w:p w14:paraId="008DF14A" w14:textId="77777777" w:rsidR="00711951" w:rsidRPr="00206781" w:rsidRDefault="00711951" w:rsidP="007E1EEA">
            <w:pPr>
              <w:spacing w:after="0" w:line="240" w:lineRule="auto"/>
              <w:rPr>
                <w:rFonts w:ascii="Montserrat" w:eastAsia="Times New Roman" w:hAnsi="Montserrat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743" w:type="dxa"/>
            <w:hideMark/>
          </w:tcPr>
          <w:p w14:paraId="606E4B12" w14:textId="77777777" w:rsidR="00711951" w:rsidRPr="00206781" w:rsidRDefault="00711951" w:rsidP="007E1E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 w:rsidRPr="00206781"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Resoluciones</w:t>
            </w:r>
          </w:p>
        </w:tc>
      </w:tr>
      <w:tr w:rsidR="00EE2A31" w:rsidRPr="00206781" w14:paraId="221B0C92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577E4581" w14:textId="5C27721F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ENERO</w:t>
            </w:r>
          </w:p>
        </w:tc>
        <w:tc>
          <w:tcPr>
            <w:tcW w:w="1743" w:type="dxa"/>
          </w:tcPr>
          <w:p w14:paraId="223D3B5C" w14:textId="5E3D9D82" w:rsidR="00EE2A31" w:rsidRPr="00206781" w:rsidRDefault="0062355F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8</w:t>
            </w:r>
          </w:p>
        </w:tc>
      </w:tr>
      <w:tr w:rsidR="00EE2A31" w:rsidRPr="00206781" w14:paraId="5D8A1F80" w14:textId="77777777" w:rsidTr="00EE2A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02BDEFD8" w14:textId="70520785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FEBRERO</w:t>
            </w:r>
          </w:p>
        </w:tc>
        <w:tc>
          <w:tcPr>
            <w:tcW w:w="1743" w:type="dxa"/>
          </w:tcPr>
          <w:p w14:paraId="4BA6EACA" w14:textId="20E92F8B" w:rsidR="00EE2A31" w:rsidRPr="00206781" w:rsidRDefault="0062355F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10</w:t>
            </w:r>
          </w:p>
        </w:tc>
      </w:tr>
      <w:tr w:rsidR="00EE2A31" w:rsidRPr="00206781" w14:paraId="1465317D" w14:textId="77777777" w:rsidTr="00EE2A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" w:type="dxa"/>
          </w:tcPr>
          <w:p w14:paraId="16E7535C" w14:textId="15F7679D" w:rsidR="00EE2A31" w:rsidRPr="00206781" w:rsidRDefault="00EE2A31" w:rsidP="00EE2A31">
            <w:pPr>
              <w:spacing w:after="0" w:line="240" w:lineRule="auto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MARZO</w:t>
            </w:r>
          </w:p>
        </w:tc>
        <w:tc>
          <w:tcPr>
            <w:tcW w:w="1743" w:type="dxa"/>
          </w:tcPr>
          <w:p w14:paraId="4375AC71" w14:textId="03B6CBA7" w:rsidR="00EE2A31" w:rsidRPr="00206781" w:rsidRDefault="0062355F" w:rsidP="00EE2A31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 w:cs="Calibri"/>
                <w:color w:val="000000"/>
                <w:lang w:val="es-ES" w:eastAsia="es-ES"/>
              </w:rPr>
            </w:pPr>
            <w:r>
              <w:rPr>
                <w:rFonts w:ascii="Montserrat" w:eastAsia="Times New Roman" w:hAnsi="Montserrat" w:cs="Calibri"/>
                <w:color w:val="000000"/>
                <w:lang w:val="es-ES" w:eastAsia="es-ES"/>
              </w:rPr>
              <w:t>3</w:t>
            </w:r>
          </w:p>
        </w:tc>
      </w:tr>
    </w:tbl>
    <w:p w14:paraId="09283200" w14:textId="77777777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6612D635" w14:textId="42DDF15A" w:rsidR="00711951" w:rsidRPr="00206781" w:rsidRDefault="0071195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7BB08F89" w14:textId="29ACFDD2" w:rsidR="00711951" w:rsidRDefault="00EE2A31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  <w:r>
        <w:rPr>
          <w:rFonts w:ascii="Montserrat" w:hAnsi="Montserrat" w:cs="Arial"/>
          <w:b/>
          <w:noProof/>
          <w:sz w:val="24"/>
          <w:lang w:val="es-ES" w:eastAsia="es-ES"/>
        </w:rPr>
        <w:drawing>
          <wp:inline distT="0" distB="0" distL="0" distR="0" wp14:anchorId="6C922745" wp14:editId="45F16AE8">
            <wp:extent cx="2988000" cy="2090057"/>
            <wp:effectExtent l="0" t="0" r="3175" b="5715"/>
            <wp:docPr id="196797107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F7F6445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4BA53D06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p w14:paraId="1D22FA2E" w14:textId="77777777" w:rsidR="00B80B9B" w:rsidRDefault="00B80B9B" w:rsidP="00711951">
      <w:pPr>
        <w:tabs>
          <w:tab w:val="left" w:pos="5865"/>
        </w:tabs>
        <w:spacing w:after="0" w:line="240" w:lineRule="auto"/>
        <w:rPr>
          <w:rFonts w:ascii="Montserrat" w:hAnsi="Montserrat" w:cs="Arial"/>
          <w:b/>
          <w:sz w:val="24"/>
        </w:rPr>
      </w:pPr>
    </w:p>
    <w:sectPr w:rsidR="00B80B9B" w:rsidSect="00FB594E">
      <w:headerReference w:type="default" r:id="rId13"/>
      <w:footerReference w:type="defaul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50B6" w14:textId="77777777" w:rsidR="008458BD" w:rsidRDefault="008458BD">
      <w:pPr>
        <w:spacing w:after="0" w:line="240" w:lineRule="auto"/>
      </w:pPr>
      <w:r>
        <w:separator/>
      </w:r>
    </w:p>
  </w:endnote>
  <w:endnote w:type="continuationSeparator" w:id="0">
    <w:p w14:paraId="6A8F390C" w14:textId="77777777" w:rsidR="008458BD" w:rsidRDefault="0084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880F" w14:textId="77777777" w:rsidR="00EE2A31" w:rsidRDefault="00D4546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07D3962E" wp14:editId="5B350B65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DC85" w14:textId="77777777" w:rsidR="008458BD" w:rsidRDefault="008458BD">
      <w:pPr>
        <w:spacing w:after="0" w:line="240" w:lineRule="auto"/>
      </w:pPr>
      <w:r>
        <w:separator/>
      </w:r>
    </w:p>
  </w:footnote>
  <w:footnote w:type="continuationSeparator" w:id="0">
    <w:p w14:paraId="06E38747" w14:textId="77777777" w:rsidR="008458BD" w:rsidRDefault="0084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60FE" w14:textId="77777777" w:rsidR="00EE2A31" w:rsidRDefault="00D45462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737757A" wp14:editId="45A28BA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DA04D" w14:textId="77777777" w:rsidR="00EE2A31" w:rsidRDefault="00EE2A31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09AB9460" w14:textId="77777777" w:rsidR="00EE2A31" w:rsidRPr="00473240" w:rsidRDefault="005A1D56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DELEGACIÓN </w:t>
    </w:r>
    <w:r w:rsidR="00D45462" w:rsidRPr="00473240">
      <w:rPr>
        <w:rFonts w:ascii="Montserrat" w:hAnsi="Montserrat"/>
        <w:b/>
        <w:color w:val="1F3864" w:themeColor="accent5" w:themeShade="80"/>
        <w:sz w:val="24"/>
        <w:szCs w:val="24"/>
      </w:rPr>
      <w:t>CONTRAVENCIONAL</w:t>
    </w:r>
  </w:p>
  <w:p w14:paraId="1667D7A8" w14:textId="77777777" w:rsidR="0086102C" w:rsidRPr="00FB594E" w:rsidRDefault="00D45462" w:rsidP="0086102C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</w:rPr>
    </w:pPr>
    <w:r w:rsidRPr="00473240">
      <w:rPr>
        <w:rFonts w:ascii="Montserrat" w:hAnsi="Montserrat"/>
        <w:color w:val="1F3864" w:themeColor="accent5" w:themeShade="80"/>
      </w:rPr>
      <w:t>2536-6200</w:t>
    </w:r>
    <w:r w:rsidR="0086102C">
      <w:rPr>
        <w:rFonts w:ascii="Montserrat" w:hAnsi="Montserrat"/>
        <w:color w:val="1F3864" w:themeColor="accent5" w:themeShade="80"/>
      </w:rPr>
      <w:t xml:space="preserve"> Ext.101</w:t>
    </w:r>
  </w:p>
  <w:p w14:paraId="28C90506" w14:textId="77777777" w:rsidR="00EE2A31" w:rsidRDefault="00EE2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3BEB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155F8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D0EDA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E62B9"/>
    <w:multiLevelType w:val="hybridMultilevel"/>
    <w:tmpl w:val="AA94A136"/>
    <w:lvl w:ilvl="0" w:tplc="07B62F08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7C34A7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6D7BAA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65046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3E31CD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3C6A48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12442A"/>
    <w:multiLevelType w:val="hybridMultilevel"/>
    <w:tmpl w:val="82207242"/>
    <w:lvl w:ilvl="0" w:tplc="A620C446">
      <w:start w:val="1"/>
      <w:numFmt w:val="lowerLetter"/>
      <w:lvlText w:val="%1)"/>
      <w:lvlJc w:val="left"/>
      <w:pPr>
        <w:ind w:left="643" w:hanging="360"/>
      </w:pPr>
      <w:rPr>
        <w:rFonts w:ascii="Arial" w:hAnsi="Arial" w:cs="Arial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7915951">
    <w:abstractNumId w:val="8"/>
  </w:num>
  <w:num w:numId="2" w16cid:durableId="1406996583">
    <w:abstractNumId w:val="7"/>
  </w:num>
  <w:num w:numId="3" w16cid:durableId="1218934515">
    <w:abstractNumId w:val="2"/>
  </w:num>
  <w:num w:numId="4" w16cid:durableId="888954866">
    <w:abstractNumId w:val="9"/>
  </w:num>
  <w:num w:numId="5" w16cid:durableId="401101671">
    <w:abstractNumId w:val="6"/>
  </w:num>
  <w:num w:numId="6" w16cid:durableId="1410881692">
    <w:abstractNumId w:val="0"/>
  </w:num>
  <w:num w:numId="7" w16cid:durableId="887955807">
    <w:abstractNumId w:val="4"/>
  </w:num>
  <w:num w:numId="8" w16cid:durableId="1616594727">
    <w:abstractNumId w:val="1"/>
  </w:num>
  <w:num w:numId="9" w16cid:durableId="1148742408">
    <w:abstractNumId w:val="5"/>
  </w:num>
  <w:num w:numId="10" w16cid:durableId="140132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62"/>
    <w:rsid w:val="00015CE1"/>
    <w:rsid w:val="00022BB0"/>
    <w:rsid w:val="00024914"/>
    <w:rsid w:val="00040545"/>
    <w:rsid w:val="000412BB"/>
    <w:rsid w:val="000554D4"/>
    <w:rsid w:val="0009636B"/>
    <w:rsid w:val="001002F5"/>
    <w:rsid w:val="0013132C"/>
    <w:rsid w:val="0017446A"/>
    <w:rsid w:val="001A1DA8"/>
    <w:rsid w:val="001A2521"/>
    <w:rsid w:val="001C1735"/>
    <w:rsid w:val="001D2C8A"/>
    <w:rsid w:val="00206781"/>
    <w:rsid w:val="00206FD5"/>
    <w:rsid w:val="00221523"/>
    <w:rsid w:val="00223D16"/>
    <w:rsid w:val="00276676"/>
    <w:rsid w:val="00281FE6"/>
    <w:rsid w:val="002A4606"/>
    <w:rsid w:val="002F7C72"/>
    <w:rsid w:val="00324EAE"/>
    <w:rsid w:val="003410EC"/>
    <w:rsid w:val="00392723"/>
    <w:rsid w:val="003C1B87"/>
    <w:rsid w:val="004020E4"/>
    <w:rsid w:val="00415A3C"/>
    <w:rsid w:val="004642D0"/>
    <w:rsid w:val="004B2426"/>
    <w:rsid w:val="004B5BAE"/>
    <w:rsid w:val="0053452D"/>
    <w:rsid w:val="005A1D56"/>
    <w:rsid w:val="005A5AFD"/>
    <w:rsid w:val="005B4940"/>
    <w:rsid w:val="006004E5"/>
    <w:rsid w:val="006019BB"/>
    <w:rsid w:val="0062355F"/>
    <w:rsid w:val="006359B4"/>
    <w:rsid w:val="00641164"/>
    <w:rsid w:val="00660FE1"/>
    <w:rsid w:val="00665060"/>
    <w:rsid w:val="006D6CDD"/>
    <w:rsid w:val="006D7F03"/>
    <w:rsid w:val="00711951"/>
    <w:rsid w:val="007125A6"/>
    <w:rsid w:val="00725B09"/>
    <w:rsid w:val="00794C0E"/>
    <w:rsid w:val="007E147F"/>
    <w:rsid w:val="007E22BA"/>
    <w:rsid w:val="007F3155"/>
    <w:rsid w:val="008168AA"/>
    <w:rsid w:val="008458BD"/>
    <w:rsid w:val="0086102C"/>
    <w:rsid w:val="00883D46"/>
    <w:rsid w:val="00897A8F"/>
    <w:rsid w:val="008E7AF3"/>
    <w:rsid w:val="008F7EDB"/>
    <w:rsid w:val="00903926"/>
    <w:rsid w:val="00961BF8"/>
    <w:rsid w:val="009A36BA"/>
    <w:rsid w:val="009B7EFD"/>
    <w:rsid w:val="009D0965"/>
    <w:rsid w:val="00A523B8"/>
    <w:rsid w:val="00A57AA6"/>
    <w:rsid w:val="00AE530C"/>
    <w:rsid w:val="00B80B9B"/>
    <w:rsid w:val="00BA4895"/>
    <w:rsid w:val="00BB7A10"/>
    <w:rsid w:val="00BC5A4A"/>
    <w:rsid w:val="00BD60B9"/>
    <w:rsid w:val="00BF313B"/>
    <w:rsid w:val="00C43A80"/>
    <w:rsid w:val="00C56B3A"/>
    <w:rsid w:val="00C83D70"/>
    <w:rsid w:val="00C87003"/>
    <w:rsid w:val="00C974A6"/>
    <w:rsid w:val="00CA0C9E"/>
    <w:rsid w:val="00CA1208"/>
    <w:rsid w:val="00CC788F"/>
    <w:rsid w:val="00D45462"/>
    <w:rsid w:val="00D50EEF"/>
    <w:rsid w:val="00D75DC8"/>
    <w:rsid w:val="00D84610"/>
    <w:rsid w:val="00D96C97"/>
    <w:rsid w:val="00DA15DD"/>
    <w:rsid w:val="00DB2D2E"/>
    <w:rsid w:val="00DE2036"/>
    <w:rsid w:val="00E56776"/>
    <w:rsid w:val="00E7255E"/>
    <w:rsid w:val="00E86160"/>
    <w:rsid w:val="00EB39DF"/>
    <w:rsid w:val="00EC1A5C"/>
    <w:rsid w:val="00EC6804"/>
    <w:rsid w:val="00EE2A31"/>
    <w:rsid w:val="00F008B7"/>
    <w:rsid w:val="00F039E7"/>
    <w:rsid w:val="00F65756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B971A"/>
  <w15:chartTrackingRefBased/>
  <w15:docId w15:val="{8CDD5A67-BD5E-4A78-90B3-9791326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62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4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5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462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D45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462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46A"/>
    <w:rPr>
      <w:rFonts w:ascii="Segoe UI" w:hAnsi="Segoe UI" w:cs="Segoe UI"/>
      <w:sz w:val="18"/>
      <w:szCs w:val="18"/>
      <w:lang w:val="es-SV"/>
    </w:rPr>
  </w:style>
  <w:style w:type="table" w:styleId="Tablaconcuadrcula1clara">
    <w:name w:val="Grid Table 1 Light"/>
    <w:basedOn w:val="Tablanormal"/>
    <w:uiPriority w:val="46"/>
    <w:rsid w:val="007E22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1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Denuncias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36</c:v>
                </c:pt>
                <c:pt idx="1">
                  <c:v>22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7F-44AD-AE38-69873954421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3944888"/>
        <c:axId val="25362274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Desestimaciones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6D7F-44AD-AE38-69873954421D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Procesos Sancionatorios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5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6D7F-44AD-AE38-69873954421D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Hoja1!$E$1</c15:sqref>
                        </c15:formulaRef>
                      </c:ext>
                    </c:extLst>
                    <c:strCache>
                      <c:ptCount val="1"/>
                      <c:pt idx="0">
                        <c:v>Plan de pago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Hoja1!$E$2:$E$4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D7F-44AD-AE38-69873954421D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Hoja1!$F$1</c15:sqref>
                        </c15:formulaRef>
                      </c:ext>
                    </c:extLst>
                    <c:strCache>
                      <c:ptCount val="1"/>
                      <c:pt idx="0">
                        <c:v>Esquelas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Hoja1!$F$2:$F$4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12</c:v>
                      </c:pt>
                      <c:pt idx="1">
                        <c:v>19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D7F-44AD-AE38-69873954421D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Resoluciones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Hoja1!$G$2:$G$4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6</c:v>
                      </c:pt>
                      <c:pt idx="2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D7F-44AD-AE38-69873954421D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Audiencias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6D7F-44AD-AE38-69873954421D}"/>
                  </c:ext>
                </c:extLst>
              </c15:ser>
            </c15:filteredBarSeries>
          </c:ext>
        </c:extLst>
      </c:barChart>
      <c:catAx>
        <c:axId val="25394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622744"/>
        <c:crosses val="autoZero"/>
        <c:auto val="1"/>
        <c:lblAlgn val="ctr"/>
        <c:lblOffset val="100"/>
        <c:noMultiLvlLbl val="0"/>
      </c:catAx>
      <c:valAx>
        <c:axId val="253622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944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Hoja1!$C$1</c:f>
              <c:strCache>
                <c:ptCount val="1"/>
                <c:pt idx="0">
                  <c:v>Desestimaciones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F3-44FB-900A-8B57ED507C6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3856840"/>
        <c:axId val="25427433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Hoja1!$B$1</c15:sqref>
                        </c15:formulaRef>
                      </c:ext>
                    </c:extLst>
                    <c:strCache>
                      <c:ptCount val="1"/>
                      <c:pt idx="0">
                        <c:v>Denuncias</c:v>
                      </c:pt>
                    </c:strCache>
                  </c:strRef>
                </c:tx>
                <c:spPr>
                  <a:solidFill>
                    <a:schemeClr val="accent1">
                      <a:shade val="4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Hoja1!$B$2:$B$4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36</c:v>
                      </c:pt>
                      <c:pt idx="1">
                        <c:v>22</c:v>
                      </c:pt>
                      <c:pt idx="2">
                        <c:v>21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0-1AF3-44FB-900A-8B57ED507C65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Procesos Sancionatorios</c:v>
                      </c:pt>
                    </c:strCache>
                  </c:strRef>
                </c:tx>
                <c:spPr>
                  <a:solidFill>
                    <a:schemeClr val="accent1">
                      <a:shade val="8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5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1AF3-44FB-900A-8B57ED507C6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Hoja1!$E$1</c15:sqref>
                        </c15:formulaRef>
                      </c:ext>
                    </c:extLst>
                    <c:strCache>
                      <c:ptCount val="1"/>
                      <c:pt idx="0">
                        <c:v>Plan de pago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Hoja1!$E$2:$E$4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AF3-44FB-900A-8B57ED507C6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Hoja1!$F$1</c15:sqref>
                        </c15:formulaRef>
                      </c:ext>
                    </c:extLst>
                    <c:strCache>
                      <c:ptCount val="1"/>
                      <c:pt idx="0">
                        <c:v>Esquelas</c:v>
                      </c:pt>
                    </c:strCache>
                  </c:strRef>
                </c:tx>
                <c:spPr>
                  <a:solidFill>
                    <a:schemeClr val="accent1">
                      <a:tint val="83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Hoja1!$F$2:$F$4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12</c:v>
                      </c:pt>
                      <c:pt idx="1">
                        <c:v>19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AF3-44FB-900A-8B57ED507C65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Resoluciones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Hoja1!$G$2:$G$4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6</c:v>
                      </c:pt>
                      <c:pt idx="2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AF3-44FB-900A-8B57ED507C65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Audiencias</c:v>
                      </c:pt>
                    </c:strCache>
                  </c:strRef>
                </c:tx>
                <c:spPr>
                  <a:solidFill>
                    <a:schemeClr val="accent1">
                      <a:tint val="4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1AF3-44FB-900A-8B57ED507C65}"/>
                  </c:ext>
                </c:extLst>
              </c15:ser>
            </c15:filteredBarSeries>
          </c:ext>
        </c:extLst>
      </c:barChart>
      <c:catAx>
        <c:axId val="25385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274336"/>
        <c:crosses val="autoZero"/>
        <c:auto val="1"/>
        <c:lblAlgn val="ctr"/>
        <c:lblOffset val="100"/>
        <c:noMultiLvlLbl val="0"/>
      </c:catAx>
      <c:valAx>
        <c:axId val="254274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3856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Hoja1!$D$1</c:f>
              <c:strCache>
                <c:ptCount val="1"/>
                <c:pt idx="0">
                  <c:v>Procesos Sancionatorios</c:v>
                </c:pt>
              </c:strCache>
              <c:extLst xmlns:c15="http://schemas.microsoft.com/office/drawing/2012/chart"/>
            </c:strRef>
          </c:tx>
          <c:spPr>
            <a:solidFill>
              <a:schemeClr val="accent1">
                <a:shade val="82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 xmlns:c15="http://schemas.microsoft.com/office/drawing/2012/chart"/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1</c:v>
                </c:pt>
              </c:numCache>
              <c:extLst xmlns:c15="http://schemas.microsoft.com/office/drawing/2012/chart"/>
            </c:numRef>
          </c:val>
          <c:extLst>
            <c:ext xmlns:c16="http://schemas.microsoft.com/office/drawing/2014/chart" uri="{C3380CC4-5D6E-409C-BE32-E72D297353CC}">
              <c16:uniqueId val="{00000002-F3E6-428A-94A7-BF87E21EF91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410120"/>
        <c:axId val="2544105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Hoja1!$B$1</c15:sqref>
                        </c15:formulaRef>
                      </c:ext>
                    </c:extLst>
                    <c:strCache>
                      <c:ptCount val="1"/>
                      <c:pt idx="0">
                        <c:v>Denuncias</c:v>
                      </c:pt>
                    </c:strCache>
                  </c:strRef>
                </c:tx>
                <c:spPr>
                  <a:solidFill>
                    <a:schemeClr val="accent1">
                      <a:shade val="4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Hoja1!$B$2:$B$4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36</c:v>
                      </c:pt>
                      <c:pt idx="1">
                        <c:v>22</c:v>
                      </c:pt>
                      <c:pt idx="2">
                        <c:v>21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3E6-428A-94A7-BF87E21EF91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Desestimaciones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0-F3E6-428A-94A7-BF87E21EF91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Hoja1!$E$1</c15:sqref>
                        </c15:formulaRef>
                      </c:ext>
                    </c:extLst>
                    <c:strCache>
                      <c:ptCount val="1"/>
                      <c:pt idx="0">
                        <c:v>Plan de pago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Hoja1!$E$2:$E$4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F3E6-428A-94A7-BF87E21EF91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Hoja1!$F$1</c15:sqref>
                        </c15:formulaRef>
                      </c:ext>
                    </c:extLst>
                    <c:strCache>
                      <c:ptCount val="1"/>
                      <c:pt idx="0">
                        <c:v>Esquelas</c:v>
                      </c:pt>
                    </c:strCache>
                  </c:strRef>
                </c:tx>
                <c:spPr>
                  <a:solidFill>
                    <a:schemeClr val="accent1">
                      <a:tint val="83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Hoja1!$F$2:$F$4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12</c:v>
                      </c:pt>
                      <c:pt idx="1">
                        <c:v>19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F3E6-428A-94A7-BF87E21EF915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Resoluciones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Hoja1!$G$2:$G$4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6</c:v>
                      </c:pt>
                      <c:pt idx="2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F3E6-428A-94A7-BF87E21EF915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Audiencias</c:v>
                      </c:pt>
                    </c:strCache>
                  </c:strRef>
                </c:tx>
                <c:spPr>
                  <a:solidFill>
                    <a:schemeClr val="accent1">
                      <a:tint val="4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F3E6-428A-94A7-BF87E21EF915}"/>
                  </c:ext>
                </c:extLst>
              </c15:ser>
            </c15:filteredBarSeries>
          </c:ext>
        </c:extLst>
      </c:barChart>
      <c:catAx>
        <c:axId val="254410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10504"/>
        <c:crosses val="autoZero"/>
        <c:auto val="1"/>
        <c:lblAlgn val="ctr"/>
        <c:lblOffset val="100"/>
        <c:noMultiLvlLbl val="0"/>
      </c:catAx>
      <c:valAx>
        <c:axId val="254410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410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Hoja1!$E$1</c:f>
              <c:strCache>
                <c:ptCount val="1"/>
                <c:pt idx="0">
                  <c:v>Plan de pago</c:v>
                </c:pt>
              </c:strCache>
              <c:extLst xmlns:c15="http://schemas.microsoft.com/office/drawing/2012/chart"/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 xmlns:c15="http://schemas.microsoft.com/office/drawing/2012/chart"/>
            </c:strRef>
          </c:cat>
          <c:val>
            <c:numRef>
              <c:f>Hoja1!$E$2:$E$4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  <c:extLst xmlns:c15="http://schemas.microsoft.com/office/drawing/2012/chart"/>
            </c:numRef>
          </c:val>
          <c:extLst>
            <c:ext xmlns:c16="http://schemas.microsoft.com/office/drawing/2014/chart" uri="{C3380CC4-5D6E-409C-BE32-E72D297353CC}">
              <c16:uniqueId val="{00000003-384E-405E-A1FC-759F98CF6FB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805520"/>
        <c:axId val="2548074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Hoja1!$B$1</c15:sqref>
                        </c15:formulaRef>
                      </c:ext>
                    </c:extLst>
                    <c:strCache>
                      <c:ptCount val="1"/>
                      <c:pt idx="0">
                        <c:v>Denuncias</c:v>
                      </c:pt>
                    </c:strCache>
                  </c:strRef>
                </c:tx>
                <c:spPr>
                  <a:solidFill>
                    <a:schemeClr val="accent1">
                      <a:shade val="4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Hoja1!$B$2:$B$4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36</c:v>
                      </c:pt>
                      <c:pt idx="1">
                        <c:v>22</c:v>
                      </c:pt>
                      <c:pt idx="2">
                        <c:v>21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84E-405E-A1FC-759F98CF6FB7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Desestimaciones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0-384E-405E-A1FC-759F98CF6FB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Procesos Sancionatorios</c:v>
                      </c:pt>
                    </c:strCache>
                  </c:strRef>
                </c:tx>
                <c:spPr>
                  <a:solidFill>
                    <a:schemeClr val="accent1">
                      <a:shade val="8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5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384E-405E-A1FC-759F98CF6FB7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Hoja1!$F$1</c15:sqref>
                        </c15:formulaRef>
                      </c:ext>
                    </c:extLst>
                    <c:strCache>
                      <c:ptCount val="1"/>
                      <c:pt idx="0">
                        <c:v>Esquelas</c:v>
                      </c:pt>
                    </c:strCache>
                  </c:strRef>
                </c:tx>
                <c:spPr>
                  <a:solidFill>
                    <a:schemeClr val="accent1">
                      <a:tint val="83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Hoja1!$F$2:$F$4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12</c:v>
                      </c:pt>
                      <c:pt idx="1">
                        <c:v>19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84E-405E-A1FC-759F98CF6FB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Resoluciones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Hoja1!$G$2:$G$4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6</c:v>
                      </c:pt>
                      <c:pt idx="2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84E-405E-A1FC-759F98CF6FB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Audiencias</c:v>
                      </c:pt>
                    </c:strCache>
                  </c:strRef>
                </c:tx>
                <c:spPr>
                  <a:solidFill>
                    <a:schemeClr val="accent1">
                      <a:tint val="4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84E-405E-A1FC-759F98CF6FB7}"/>
                  </c:ext>
                </c:extLst>
              </c15:ser>
            </c15:filteredBarSeries>
          </c:ext>
        </c:extLst>
      </c:barChart>
      <c:catAx>
        <c:axId val="25480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807480"/>
        <c:crosses val="autoZero"/>
        <c:auto val="1"/>
        <c:lblAlgn val="ctr"/>
        <c:lblOffset val="100"/>
        <c:noMultiLvlLbl val="0"/>
      </c:catAx>
      <c:valAx>
        <c:axId val="254807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80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4"/>
          <c:order val="4"/>
          <c:tx>
            <c:strRef>
              <c:f>Hoja1!$F$1</c:f>
              <c:strCache>
                <c:ptCount val="1"/>
                <c:pt idx="0">
                  <c:v>Esquelas</c:v>
                </c:pt>
              </c:strCache>
              <c:extLst xmlns:c15="http://schemas.microsoft.com/office/drawing/2012/chart"/>
            </c:strRef>
          </c:tx>
          <c:spPr>
            <a:solidFill>
              <a:schemeClr val="accent1">
                <a:tint val="8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 xmlns:c15="http://schemas.microsoft.com/office/drawing/2012/chart"/>
            </c:strRef>
          </c:cat>
          <c:val>
            <c:numRef>
              <c:f>Hoja1!$F$2:$F$4</c:f>
              <c:numCache>
                <c:formatCode>General</c:formatCode>
                <c:ptCount val="3"/>
                <c:pt idx="0">
                  <c:v>12</c:v>
                </c:pt>
                <c:pt idx="1">
                  <c:v>19</c:v>
                </c:pt>
                <c:pt idx="2">
                  <c:v>20</c:v>
                </c:pt>
              </c:numCache>
              <c:extLst xmlns:c15="http://schemas.microsoft.com/office/drawing/2012/chart"/>
            </c:numRef>
          </c:val>
          <c:extLst>
            <c:ext xmlns:c16="http://schemas.microsoft.com/office/drawing/2014/chart" uri="{C3380CC4-5D6E-409C-BE32-E72D297353CC}">
              <c16:uniqueId val="{00000004-C92C-4F01-BD4C-C4F010B224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805128"/>
        <c:axId val="2548059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Hoja1!$B$1</c15:sqref>
                        </c15:formulaRef>
                      </c:ext>
                    </c:extLst>
                    <c:strCache>
                      <c:ptCount val="1"/>
                      <c:pt idx="0">
                        <c:v>Denuncias</c:v>
                      </c:pt>
                    </c:strCache>
                  </c:strRef>
                </c:tx>
                <c:spPr>
                  <a:solidFill>
                    <a:schemeClr val="accent1">
                      <a:shade val="4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Hoja1!$B$2:$B$4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36</c:v>
                      </c:pt>
                      <c:pt idx="1">
                        <c:v>22</c:v>
                      </c:pt>
                      <c:pt idx="2">
                        <c:v>21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C92C-4F01-BD4C-C4F010B22451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Desestimaciones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0-C92C-4F01-BD4C-C4F010B22451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Procesos Sancionatorios</c:v>
                      </c:pt>
                    </c:strCache>
                  </c:strRef>
                </c:tx>
                <c:spPr>
                  <a:solidFill>
                    <a:schemeClr val="accent1">
                      <a:shade val="8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5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C92C-4F01-BD4C-C4F010B2245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Hoja1!$E$1</c15:sqref>
                        </c15:formulaRef>
                      </c:ext>
                    </c:extLst>
                    <c:strCache>
                      <c:ptCount val="1"/>
                      <c:pt idx="0">
                        <c:v>Plan de pago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Hoja1!$E$2:$E$4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C92C-4F01-BD4C-C4F010B22451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Hoja1!$G$1</c15:sqref>
                        </c15:formulaRef>
                      </c:ext>
                    </c:extLst>
                    <c:strCache>
                      <c:ptCount val="1"/>
                      <c:pt idx="0">
                        <c:v>Resoluciones</c:v>
                      </c:pt>
                    </c:strCache>
                  </c:strRef>
                </c:tx>
                <c:spPr>
                  <a:solidFill>
                    <a:schemeClr val="accent1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Hoja1!$G$2:$G$4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11</c:v>
                      </c:pt>
                      <c:pt idx="1">
                        <c:v>6</c:v>
                      </c:pt>
                      <c:pt idx="2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C92C-4F01-BD4C-C4F010B22451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Audiencias</c:v>
                      </c:pt>
                    </c:strCache>
                  </c:strRef>
                </c:tx>
                <c:spPr>
                  <a:solidFill>
                    <a:schemeClr val="accent1">
                      <a:tint val="4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C92C-4F01-BD4C-C4F010B22451}"/>
                  </c:ext>
                </c:extLst>
              </c15:ser>
            </c15:filteredBarSeries>
          </c:ext>
        </c:extLst>
      </c:barChart>
      <c:catAx>
        <c:axId val="254805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805912"/>
        <c:crosses val="autoZero"/>
        <c:auto val="1"/>
        <c:lblAlgn val="ctr"/>
        <c:lblOffset val="100"/>
        <c:noMultiLvlLbl val="0"/>
      </c:catAx>
      <c:valAx>
        <c:axId val="254805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805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5"/>
          <c:order val="5"/>
          <c:tx>
            <c:strRef>
              <c:f>Hoja1!$G$1</c:f>
              <c:strCache>
                <c:ptCount val="1"/>
                <c:pt idx="0">
                  <c:v>Resoluciones</c:v>
                </c:pt>
              </c:strCache>
              <c:extLst xmlns:c15="http://schemas.microsoft.com/office/drawing/2012/chart"/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5="http://schemas.microsoft.com/office/drawing/2012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  <c:extLst xmlns:c15="http://schemas.microsoft.com/office/drawing/2012/chart"/>
            </c:strRef>
          </c:cat>
          <c:val>
            <c:numRef>
              <c:f>Hoja1!$G$2:$G$4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3</c:v>
                </c:pt>
              </c:numCache>
              <c:extLst xmlns:c15="http://schemas.microsoft.com/office/drawing/2012/chart"/>
            </c:numRef>
          </c:val>
          <c:extLst>
            <c:ext xmlns:c16="http://schemas.microsoft.com/office/drawing/2014/chart" uri="{C3380CC4-5D6E-409C-BE32-E72D297353CC}">
              <c16:uniqueId val="{00000005-D9B4-4FDD-8BBD-FD6FA8CDCB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806696"/>
        <c:axId val="25480708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Hoja1!$B$1</c15:sqref>
                        </c15:formulaRef>
                      </c:ext>
                    </c:extLst>
                    <c:strCache>
                      <c:ptCount val="1"/>
                      <c:pt idx="0">
                        <c:v>Denuncias</c:v>
                      </c:pt>
                    </c:strCache>
                  </c:strRef>
                </c:tx>
                <c:spPr>
                  <a:solidFill>
                    <a:schemeClr val="accent1">
                      <a:shade val="4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Hoja1!$B$2:$B$4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36</c:v>
                      </c:pt>
                      <c:pt idx="1">
                        <c:v>22</c:v>
                      </c:pt>
                      <c:pt idx="2">
                        <c:v>21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D9B4-4FDD-8BBD-FD6FA8CDCBC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Hoja1!$C$1</c15:sqref>
                        </c15:formulaRef>
                      </c:ext>
                    </c:extLst>
                    <c:strCache>
                      <c:ptCount val="1"/>
                      <c:pt idx="0">
                        <c:v>Desestimaciones</c:v>
                      </c:pt>
                    </c:strCache>
                  </c:strRef>
                </c:tx>
                <c:spPr>
                  <a:solidFill>
                    <a:schemeClr val="accent1">
                      <a:shade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Hoja1!$C$2:$C$4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0-D9B4-4FDD-8BBD-FD6FA8CDCBC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Procesos Sancionatorios</c:v>
                      </c:pt>
                    </c:strCache>
                  </c:strRef>
                </c:tx>
                <c:spPr>
                  <a:solidFill>
                    <a:schemeClr val="accent1">
                      <a:shade val="82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Hoja1!$D$2:$D$4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8</c:v>
                      </c:pt>
                      <c:pt idx="1">
                        <c:v>5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D9B4-4FDD-8BBD-FD6FA8CDCBCC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Hoja1!$E$1</c15:sqref>
                        </c15:formulaRef>
                      </c:ext>
                    </c:extLst>
                    <c:strCache>
                      <c:ptCount val="1"/>
                      <c:pt idx="0">
                        <c:v>Plan de pago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Hoja1!$E$2:$E$4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D9B4-4FDD-8BBD-FD6FA8CDCBCC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Hoja1!$F$1</c15:sqref>
                        </c15:formulaRef>
                      </c:ext>
                    </c:extLst>
                    <c:strCache>
                      <c:ptCount val="1"/>
                      <c:pt idx="0">
                        <c:v>Esquelas</c:v>
                      </c:pt>
                    </c:strCache>
                  </c:strRef>
                </c:tx>
                <c:spPr>
                  <a:solidFill>
                    <a:schemeClr val="accent1">
                      <a:tint val="83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Hoja1!$F$2:$F$4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12</c:v>
                      </c:pt>
                      <c:pt idx="1">
                        <c:v>19</c:v>
                      </c:pt>
                      <c:pt idx="2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D9B4-4FDD-8BBD-FD6FA8CDCBCC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Hoja1!$H$1</c15:sqref>
                        </c15:formulaRef>
                      </c:ext>
                    </c:extLst>
                    <c:strCache>
                      <c:ptCount val="1"/>
                      <c:pt idx="0">
                        <c:v>Audiencias</c:v>
                      </c:pt>
                    </c:strCache>
                  </c:strRef>
                </c:tx>
                <c:spPr>
                  <a:solidFill>
                    <a:schemeClr val="accent1">
                      <a:tint val="48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Hoja1!$A$2:$A$4</c15:sqref>
                        </c15:formulaRef>
                      </c:ext>
                    </c:extLst>
                    <c:strCache>
                      <c:ptCount val="3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Hoja1!$H$2:$H$4</c15:sqref>
                        </c15:formulaRef>
                      </c:ext>
                    </c:extLst>
                    <c:numCache>
                      <c:formatCode>General</c:formatCode>
                      <c:ptCount val="3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9B4-4FDD-8BBD-FD6FA8CDCBCC}"/>
                  </c:ext>
                </c:extLst>
              </c15:ser>
            </c15:filteredBarSeries>
          </c:ext>
        </c:extLst>
      </c:barChart>
      <c:catAx>
        <c:axId val="254806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807088"/>
        <c:crosses val="autoZero"/>
        <c:auto val="1"/>
        <c:lblAlgn val="ctr"/>
        <c:lblOffset val="100"/>
        <c:noMultiLvlLbl val="0"/>
      </c:catAx>
      <c:valAx>
        <c:axId val="25480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806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SINDICATURA</dc:creator>
  <cp:keywords/>
  <dc:description/>
  <cp:lastModifiedBy>Cesia Serrano</cp:lastModifiedBy>
  <cp:revision>2</cp:revision>
  <cp:lastPrinted>2022-03-02T20:59:00Z</cp:lastPrinted>
  <dcterms:created xsi:type="dcterms:W3CDTF">2024-04-02T22:22:00Z</dcterms:created>
  <dcterms:modified xsi:type="dcterms:W3CDTF">2024-04-02T22:22:00Z</dcterms:modified>
</cp:coreProperties>
</file>