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2A42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</w:rPr>
        <w:t>Estructura Organizativa</w:t>
      </w:r>
    </w:p>
    <w:p w14:paraId="4CB30728" w14:textId="77777777" w:rsidR="00DB0846" w:rsidRDefault="009647D9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694FAE5" wp14:editId="28F9DFD0">
            <wp:simplePos x="0" y="0"/>
            <wp:positionH relativeFrom="column">
              <wp:posOffset>-401320</wp:posOffset>
            </wp:positionH>
            <wp:positionV relativeFrom="paragraph">
              <wp:posOffset>286385</wp:posOffset>
            </wp:positionV>
            <wp:extent cx="6899275" cy="4191635"/>
            <wp:effectExtent l="95250" t="95250" r="34925" b="5651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679ED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</w:rPr>
        <w:t xml:space="preserve"> </w:t>
      </w:r>
    </w:p>
    <w:p w14:paraId="5E203E41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601368E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796B17D" w14:textId="77777777" w:rsidR="00AF130A" w:rsidRPr="002B2EF7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  <w:u w:val="single"/>
        </w:rPr>
        <w:t>OBJETIVO GENERAL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B23E252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AAE62CB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Integrar toda la información referente a las </w:t>
      </w:r>
      <w:r w:rsidR="00E12607">
        <w:rPr>
          <w:rFonts w:ascii="Century Gothic" w:eastAsia="Arial Unicode MS" w:hAnsi="Century Gothic" w:cs="Arial Unicode MS"/>
          <w:sz w:val="24"/>
          <w:szCs w:val="24"/>
        </w:rPr>
        <w:t xml:space="preserve">ingresos, egresos. 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operaciones o transacciones que realiza la municipalidad, mediante principios, normas y procedimientos técnicos que sirvan de apoyo para la toma de decisiones.</w:t>
      </w:r>
    </w:p>
    <w:p w14:paraId="7F10DB16" w14:textId="77777777" w:rsidR="00E12607" w:rsidRDefault="00E12607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44B1D6EC" w14:textId="77777777" w:rsidR="0078208D" w:rsidRDefault="0078208D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758F065B" w14:textId="77777777" w:rsidR="00AF130A" w:rsidRPr="002B2EF7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  <w:r w:rsidRPr="002B2EF7">
        <w:rPr>
          <w:rFonts w:ascii="Century Gothic" w:eastAsia="Arial Unicode MS" w:hAnsi="Century Gothic" w:cs="Arial Unicode MS"/>
          <w:b/>
          <w:sz w:val="24"/>
          <w:szCs w:val="24"/>
          <w:u w:val="single"/>
        </w:rPr>
        <w:t>OBJETIVOS ESPECIFICOS.</w:t>
      </w:r>
    </w:p>
    <w:p w14:paraId="0AF3BD1C" w14:textId="77777777" w:rsidR="00AF130A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3AA8BF3" w14:textId="77777777" w:rsidR="0078208D" w:rsidRPr="002B2EF7" w:rsidRDefault="0078208D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0C7CCA3" w14:textId="77777777" w:rsidR="00AF130A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Integrar todas las operaciones financieras, tanto presupuestarias como patrimoniales, e incorporar los principios de contabilidad gubernamental.</w:t>
      </w:r>
    </w:p>
    <w:p w14:paraId="0C023726" w14:textId="77777777" w:rsidR="0078208D" w:rsidRPr="002B2EF7" w:rsidRDefault="0078208D" w:rsidP="0078208D">
      <w:pPr>
        <w:pStyle w:val="Prrafodelista"/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C0A6D8B" w14:textId="77777777" w:rsidR="0069769A" w:rsidRDefault="0069769A" w:rsidP="0069769A">
      <w:pPr>
        <w:pStyle w:val="Prrafodelista"/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7195070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Proveer información financiera útil, a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>decuada, oportuna y confiable como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 apoyo para la toma de decisiones de las instancias jerárquicas administrativas, 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>que son responsables de la gestión para la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 evaluación finan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 xml:space="preserve">ciera y presupuestaria, así también 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 xml:space="preserve">para otros organismos interesados en el análisis de la misma a solicitud de la autoridad máxima de esta municipalidad. </w:t>
      </w:r>
    </w:p>
    <w:p w14:paraId="312FC03D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FEEBF0D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Depuración de los saldos contables de los proyectos, cuentas bancarias, activo fijo, partidas complementarias, anticipos de fondos del ejercicio corriente así como también de ejercicios anterior</w:t>
      </w:r>
      <w:r w:rsidR="00E949AF">
        <w:rPr>
          <w:rFonts w:ascii="Century Gothic" w:eastAsia="Arial Unicode MS" w:hAnsi="Century Gothic" w:cs="Arial Unicode MS"/>
          <w:sz w:val="24"/>
          <w:szCs w:val="24"/>
        </w:rPr>
        <w:t xml:space="preserve">es, tomando el uso del </w:t>
      </w:r>
      <w:r w:rsidRPr="002B2EF7">
        <w:rPr>
          <w:rFonts w:ascii="Century Gothic" w:eastAsia="Arial Unicode MS" w:hAnsi="Century Gothic" w:cs="Arial Unicode MS"/>
          <w:sz w:val="24"/>
          <w:szCs w:val="24"/>
        </w:rPr>
        <w:t>sistema de contabilidad gubernamental elaborado por el Ministerio de Hacienda, siendo este de legal cumplimiento, adquiriendo un resultado integrado de operaciones contables con mayor veracidad.</w:t>
      </w:r>
    </w:p>
    <w:p w14:paraId="552415DC" w14:textId="77777777" w:rsidR="00AF130A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4678557" w14:textId="77777777" w:rsidR="0078208D" w:rsidRPr="002B2EF7" w:rsidRDefault="0078208D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2735470" w14:textId="77777777" w:rsidR="00AF130A" w:rsidRPr="002B2EF7" w:rsidRDefault="00AF130A" w:rsidP="002B2EF7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B2EF7">
        <w:rPr>
          <w:rFonts w:ascii="Century Gothic" w:eastAsia="Arial Unicode MS" w:hAnsi="Century Gothic" w:cs="Arial Unicode MS"/>
          <w:sz w:val="24"/>
          <w:szCs w:val="24"/>
        </w:rPr>
        <w:t>Cumplir con las normas, leyes, reglamentos y demás regulaciones legales, para garantizar el buen funcionamiento de esta unidad Contable.</w:t>
      </w:r>
    </w:p>
    <w:p w14:paraId="4D7B33DD" w14:textId="77777777" w:rsidR="00010B1A" w:rsidRDefault="00010B1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A8183C6" w14:textId="77777777" w:rsidR="0078208D" w:rsidRDefault="0078208D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5A8F848" w14:textId="77777777" w:rsidR="0078208D" w:rsidRDefault="0078208D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E49A238" w14:textId="77777777" w:rsidR="0078208D" w:rsidRDefault="0078208D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9E123CC" w14:textId="77777777" w:rsidR="00E949AF" w:rsidRPr="0078208D" w:rsidRDefault="00AF130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</w:rPr>
      </w:pPr>
      <w:r w:rsidRPr="0078208D">
        <w:rPr>
          <w:rFonts w:ascii="Century Gothic" w:eastAsia="Arial Unicode MS" w:hAnsi="Century Gothic" w:cs="Arial Unicode MS"/>
          <w:b/>
        </w:rPr>
        <w:lastRenderedPageBreak/>
        <w:t>ACTIVI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DADES REALIZADAS EN </w:t>
      </w:r>
      <w:r w:rsidR="00E949AF" w:rsidRPr="0078208D">
        <w:rPr>
          <w:rFonts w:ascii="Century Gothic" w:eastAsia="Arial Unicode MS" w:hAnsi="Century Gothic" w:cs="Arial Unicode MS"/>
          <w:b/>
        </w:rPr>
        <w:t>EL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PERÍODO</w:t>
      </w:r>
      <w:r w:rsidR="00E949AF" w:rsidRPr="0078208D">
        <w:rPr>
          <w:rFonts w:ascii="Century Gothic" w:eastAsia="Arial Unicode MS" w:hAnsi="Century Gothic" w:cs="Arial Unicode MS"/>
          <w:b/>
        </w:rPr>
        <w:t xml:space="preserve"> </w:t>
      </w:r>
      <w:r w:rsidR="00425DCF" w:rsidRPr="0078208D">
        <w:rPr>
          <w:rFonts w:ascii="Century Gothic" w:eastAsia="Arial Unicode MS" w:hAnsi="Century Gothic" w:cs="Arial Unicode MS"/>
          <w:b/>
        </w:rPr>
        <w:t>DEL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0</w:t>
      </w:r>
      <w:r w:rsidR="00303A4C" w:rsidRPr="0078208D">
        <w:rPr>
          <w:rFonts w:ascii="Century Gothic" w:eastAsia="Arial Unicode MS" w:hAnsi="Century Gothic" w:cs="Arial Unicode MS"/>
          <w:b/>
        </w:rPr>
        <w:t>1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</w:t>
      </w:r>
      <w:r w:rsidR="00010B1A" w:rsidRPr="0078208D">
        <w:rPr>
          <w:rFonts w:ascii="Century Gothic" w:eastAsia="Arial Unicode MS" w:hAnsi="Century Gothic" w:cs="Arial Unicode MS"/>
          <w:b/>
        </w:rPr>
        <w:t>OCTUBRE</w:t>
      </w:r>
      <w:r w:rsidR="005E4EA6" w:rsidRPr="0078208D">
        <w:rPr>
          <w:rFonts w:ascii="Century Gothic" w:eastAsia="Arial Unicode MS" w:hAnsi="Century Gothic" w:cs="Arial Unicode MS"/>
          <w:b/>
        </w:rPr>
        <w:t xml:space="preserve"> </w:t>
      </w:r>
      <w:r w:rsidR="00425DCF" w:rsidRPr="0078208D">
        <w:rPr>
          <w:rFonts w:ascii="Century Gothic" w:eastAsia="Arial Unicode MS" w:hAnsi="Century Gothic" w:cs="Arial Unicode MS"/>
          <w:b/>
        </w:rPr>
        <w:t xml:space="preserve">AL 31 DICIEMBRE </w:t>
      </w:r>
      <w:r w:rsidR="00E949AF" w:rsidRPr="0078208D">
        <w:rPr>
          <w:rFonts w:ascii="Century Gothic" w:eastAsia="Arial Unicode MS" w:hAnsi="Century Gothic" w:cs="Arial Unicode MS"/>
          <w:b/>
        </w:rPr>
        <w:t>202</w:t>
      </w:r>
      <w:r w:rsidR="00010B1A" w:rsidRPr="0078208D">
        <w:rPr>
          <w:rFonts w:ascii="Century Gothic" w:eastAsia="Arial Unicode MS" w:hAnsi="Century Gothic" w:cs="Arial Unicode MS"/>
          <w:b/>
        </w:rPr>
        <w:t>3</w:t>
      </w:r>
      <w:r w:rsidR="00E949AF" w:rsidRPr="0078208D">
        <w:rPr>
          <w:rFonts w:ascii="Century Gothic" w:eastAsia="Arial Unicode MS" w:hAnsi="Century Gothic" w:cs="Arial Unicode MS"/>
          <w:b/>
        </w:rPr>
        <w:t>.</w:t>
      </w:r>
    </w:p>
    <w:p w14:paraId="5D2720B3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c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>oncil</w:t>
      </w:r>
      <w:r>
        <w:rPr>
          <w:rFonts w:ascii="Century Gothic" w:eastAsia="Arial Unicode MS" w:hAnsi="Century Gothic" w:cs="Arial Unicode MS"/>
          <w:sz w:val="24"/>
          <w:szCs w:val="24"/>
        </w:rPr>
        <w:t>iaciones bancarias de Septiembre 2018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a Agosto 2019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(656 conciliaciones de: banco hipotecario, Credomatic, Davivienda y Cuscatlán)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físicas y en 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 xml:space="preserve"> sistema SAFIM en </w:t>
      </w:r>
      <w:r>
        <w:rPr>
          <w:rFonts w:ascii="Century Gothic" w:eastAsia="Arial Unicode MS" w:hAnsi="Century Gothic" w:cs="Arial Unicode MS"/>
          <w:sz w:val="24"/>
          <w:szCs w:val="24"/>
        </w:rPr>
        <w:t>e</w:t>
      </w:r>
      <w:r w:rsidRPr="005E6A22">
        <w:rPr>
          <w:rFonts w:ascii="Century Gothic" w:eastAsia="Arial Unicode MS" w:hAnsi="Century Gothic" w:cs="Arial Unicode MS"/>
          <w:sz w:val="24"/>
          <w:szCs w:val="24"/>
        </w:rPr>
        <w:t>l módulo de Tesorería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Contabilidad</w:t>
      </w:r>
    </w:p>
    <w:p w14:paraId="411E59D4" w14:textId="77777777" w:rsidR="0078208D" w:rsidRDefault="0078208D" w:rsidP="0078208D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468FBF2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5E6A22">
        <w:rPr>
          <w:rFonts w:ascii="Century Gothic" w:eastAsia="Arial Unicode MS" w:hAnsi="Century Gothic" w:cs="Arial Unicode MS"/>
          <w:sz w:val="24"/>
          <w:szCs w:val="24"/>
        </w:rPr>
        <w:t>Participación en comisión de anteproyecto de Presupuesto 202</w:t>
      </w:r>
      <w:r>
        <w:rPr>
          <w:rFonts w:ascii="Century Gothic" w:eastAsia="Arial Unicode MS" w:hAnsi="Century Gothic" w:cs="Arial Unicode MS"/>
          <w:sz w:val="24"/>
          <w:szCs w:val="24"/>
        </w:rPr>
        <w:t>4</w:t>
      </w:r>
    </w:p>
    <w:p w14:paraId="0A965C44" w14:textId="77777777" w:rsidR="0078208D" w:rsidRPr="0078208D" w:rsidRDefault="0078208D" w:rsidP="0078208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55E5F04" w14:textId="77777777" w:rsidR="0078208D" w:rsidRPr="005E6A22" w:rsidRDefault="0078208D" w:rsidP="0078208D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06FECC7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Interfaz contable de documentos de septiembre 2018 a Agosto 2019 en el sistema SAFIM en módulo de Contabilidad (1,682 Justificantes de pago y 7820 Documentos Financieros)</w:t>
      </w:r>
    </w:p>
    <w:p w14:paraId="70DB5D57" w14:textId="77777777" w:rsidR="00680822" w:rsidRPr="002B2EF7" w:rsidRDefault="00680822" w:rsidP="002B2EF7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A98C4A6" w14:textId="77777777" w:rsidR="00010B1A" w:rsidRDefault="00010B1A" w:rsidP="00010B1A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Comprobante Contable de documentos de septiembre 2018 a agosto 2019 en el sistema SAFIM en módulo de Contabilidad (1682 Justificantes de pago y 7820 Documentos Financieros, 208 Cajas, 92 partidas de ajustes o complementarias)</w:t>
      </w:r>
    </w:p>
    <w:p w14:paraId="41BCD977" w14:textId="77777777" w:rsidR="006209B4" w:rsidRPr="006209B4" w:rsidRDefault="006209B4" w:rsidP="006209B4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04EF76D0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Pre-cierres, ajustes y preparación de informes contables (82 informes)</w:t>
      </w:r>
    </w:p>
    <w:p w14:paraId="71ADAF19" w14:textId="77777777" w:rsidR="00F234C7" w:rsidRPr="00F234C7" w:rsidRDefault="00F234C7" w:rsidP="00F234C7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F23525C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Realización de gestiones ante la Dirección General de Contabilidad Gubernamental del Ministerio de Hacienda:</w:t>
      </w:r>
    </w:p>
    <w:p w14:paraId="791B6C0F" w14:textId="77777777" w:rsidR="00FE1A3B" w:rsidRPr="00F234C7" w:rsidRDefault="00FE1A3B" w:rsidP="00FE1A3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2C0D7715" w14:textId="77777777" w:rsidR="00FE1A3B" w:rsidRPr="00F234C7" w:rsidRDefault="00FE1A3B" w:rsidP="00FE1A3B">
      <w:pPr>
        <w:pStyle w:val="Prrafodelista"/>
        <w:numPr>
          <w:ilvl w:val="0"/>
          <w:numId w:val="43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Mesas de servicio para correcciones de registros en sistema SAFIM por cierres contables.</w:t>
      </w:r>
      <w:r w:rsidRPr="00F234C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1B9E2F62" w14:textId="77777777" w:rsidR="00FE1A3B" w:rsidRPr="00F234C7" w:rsidRDefault="00FE1A3B" w:rsidP="00FE1A3B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E8C7268" w14:textId="77777777" w:rsidR="00FE1A3B" w:rsidRDefault="00FE1A3B" w:rsidP="00FE1A3B">
      <w:pPr>
        <w:pStyle w:val="Prrafodelista"/>
        <w:numPr>
          <w:ilvl w:val="0"/>
          <w:numId w:val="43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 de informes por cierres contables en sistema SAFIM de septiembre 2018 a agosto 2019.</w:t>
      </w:r>
    </w:p>
    <w:p w14:paraId="0D0DD547" w14:textId="77777777" w:rsidR="00FE1A3B" w:rsidRPr="00FE1A3B" w:rsidRDefault="00FE1A3B" w:rsidP="00FE1A3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66BBC1EF" w14:textId="77777777" w:rsidR="00FE1A3B" w:rsidRPr="00F234C7" w:rsidRDefault="00FE1A3B" w:rsidP="00FE1A3B">
      <w:pPr>
        <w:pStyle w:val="Prrafodelista"/>
        <w:spacing w:after="120" w:line="240" w:lineRule="auto"/>
        <w:ind w:left="157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C0BD00E" w14:textId="77777777" w:rsidR="00283AE3" w:rsidRDefault="003F3B07" w:rsidP="00283AE3">
      <w:pPr>
        <w:pStyle w:val="Prrafodelista"/>
        <w:numPr>
          <w:ilvl w:val="0"/>
          <w:numId w:val="40"/>
        </w:numPr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83AE3">
        <w:rPr>
          <w:rFonts w:ascii="Century Gothic" w:eastAsia="Arial Unicode MS" w:hAnsi="Century Gothic" w:cs="Arial Unicode MS"/>
          <w:sz w:val="24"/>
          <w:szCs w:val="24"/>
        </w:rPr>
        <w:t>Realiza</w:t>
      </w:r>
      <w:r w:rsidR="00742760" w:rsidRPr="00283AE3">
        <w:rPr>
          <w:rFonts w:ascii="Century Gothic" w:eastAsia="Arial Unicode MS" w:hAnsi="Century Gothic" w:cs="Arial Unicode MS"/>
          <w:sz w:val="24"/>
          <w:szCs w:val="24"/>
        </w:rPr>
        <w:t>ción de gestiones ante la Unidad de Tesorería, para remisión de Estados de Cuentas o Historiales Bancarios para la realización de Conciliaciones Bancarias dentro de esta unidad.</w:t>
      </w:r>
    </w:p>
    <w:p w14:paraId="7C3987F1" w14:textId="77777777" w:rsidR="00283AE3" w:rsidRDefault="00283AE3" w:rsidP="00283AE3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621271B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>
        <w:rPr>
          <w:rFonts w:ascii="Century Gothic" w:eastAsia="Arial Unicode MS" w:hAnsi="Century Gothic" w:cs="Arial Unicode MS"/>
          <w:sz w:val="24"/>
          <w:szCs w:val="24"/>
        </w:rPr>
        <w:t>08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memorandos enviados para gestiones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o respuestas a solicitudes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diversas relacionadas a esta unidad contable, en los periodos del 01 </w:t>
      </w:r>
      <w:r>
        <w:rPr>
          <w:rFonts w:ascii="Century Gothic" w:eastAsia="Arial Unicode MS" w:hAnsi="Century Gothic" w:cs="Arial Unicode MS"/>
          <w:sz w:val="24"/>
          <w:szCs w:val="24"/>
        </w:rPr>
        <w:t>de octubre al 31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>
        <w:rPr>
          <w:rFonts w:ascii="Century Gothic" w:eastAsia="Arial Unicode MS" w:hAnsi="Century Gothic" w:cs="Arial Unicode MS"/>
          <w:sz w:val="24"/>
          <w:szCs w:val="24"/>
        </w:rPr>
        <w:t>diciembre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2023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00E608B6" w14:textId="77777777" w:rsidR="00FE1A3B" w:rsidRPr="00FE1A3B" w:rsidRDefault="00FE1A3B" w:rsidP="00FE1A3B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13E8CFB0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Registro de documentos de  septiembre 2018 a agosto 2019 en sistema SAFIM en el módulo de Tesorería (648 Justificantes de Pago y 1296 Documentos Financieros)</w:t>
      </w:r>
    </w:p>
    <w:p w14:paraId="657454CC" w14:textId="77777777" w:rsidR="00FE1A3B" w:rsidRDefault="00FE1A3B" w:rsidP="00FE1A3B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AE614DA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Codificación de planillas de salarios con sus respectivas amortizaciones de septiembre 2018 a agosto 2019</w:t>
      </w:r>
    </w:p>
    <w:p w14:paraId="27BABF38" w14:textId="77777777" w:rsidR="0078208D" w:rsidRPr="0078208D" w:rsidRDefault="0078208D" w:rsidP="0078208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246A0E2" w14:textId="77777777" w:rsidR="0078208D" w:rsidRDefault="0078208D" w:rsidP="0078208D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A96DA44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Impresión y archivo de comprobantes contables de septiembre 2018 a agosto 2019 </w:t>
      </w:r>
    </w:p>
    <w:p w14:paraId="78402636" w14:textId="77777777" w:rsidR="00FE1A3B" w:rsidRDefault="00FE1A3B" w:rsidP="00FE1A3B">
      <w:pPr>
        <w:pStyle w:val="Prrafodelista"/>
        <w:spacing w:after="120" w:line="240" w:lineRule="auto"/>
        <w:ind w:left="786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006D8B5" w14:textId="77777777" w:rsidR="00FE1A3B" w:rsidRDefault="00FE1A3B" w:rsidP="00FE1A3B">
      <w:pPr>
        <w:pStyle w:val="Prrafodelista"/>
        <w:numPr>
          <w:ilvl w:val="0"/>
          <w:numId w:val="40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Preparación, archivo  y traslado de documentos contables a la unidad de archivo (UGDA) correspondientes al año 2016</w:t>
      </w:r>
    </w:p>
    <w:p w14:paraId="31B47198" w14:textId="77777777" w:rsidR="00B0492D" w:rsidRDefault="0066191D" w:rsidP="00FE1A3B">
      <w:pPr>
        <w:pStyle w:val="Prrafodelista"/>
        <w:spacing w:after="12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7276A5E3" w14:textId="77777777" w:rsidR="00680822" w:rsidRDefault="000A5787" w:rsidP="002B2EF7">
      <w:pPr>
        <w:pStyle w:val="Prrafodelista"/>
        <w:numPr>
          <w:ilvl w:val="0"/>
          <w:numId w:val="40"/>
        </w:numPr>
        <w:spacing w:after="120" w:line="240" w:lineRule="auto"/>
        <w:ind w:left="851" w:hanging="567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Recepción de </w:t>
      </w:r>
      <w:r w:rsidR="00564EA3">
        <w:rPr>
          <w:rFonts w:ascii="Century Gothic" w:eastAsia="Arial Unicode MS" w:hAnsi="Century Gothic" w:cs="Arial Unicode MS"/>
          <w:sz w:val="24"/>
          <w:szCs w:val="24"/>
        </w:rPr>
        <w:t>2</w:t>
      </w:r>
      <w:r w:rsidR="00080940">
        <w:rPr>
          <w:rFonts w:ascii="Century Gothic" w:eastAsia="Arial Unicode MS" w:hAnsi="Century Gothic" w:cs="Arial Unicode MS"/>
          <w:sz w:val="24"/>
          <w:szCs w:val="24"/>
        </w:rPr>
        <w:t>61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acuerdos municipales</w:t>
      </w:r>
      <w:r w:rsidR="0085747D" w:rsidRPr="00843D33">
        <w:rPr>
          <w:rFonts w:ascii="Century Gothic" w:eastAsia="Arial Unicode MS" w:hAnsi="Century Gothic" w:cs="Arial Unicode MS"/>
          <w:sz w:val="24"/>
          <w:szCs w:val="24"/>
        </w:rPr>
        <w:t>.</w:t>
      </w:r>
      <w:r w:rsidR="00A30502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4CC6F538" w14:textId="77777777" w:rsidR="00B0492D" w:rsidRPr="00B0492D" w:rsidRDefault="00B0492D" w:rsidP="00B0492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07BA33A6" w14:textId="77777777" w:rsidR="004A3157" w:rsidRPr="00FE1A3B" w:rsidRDefault="004A3157" w:rsidP="004A3157">
      <w:pPr>
        <w:jc w:val="center"/>
        <w:rPr>
          <w:rFonts w:ascii="Century Gothic" w:eastAsia="Arial Unicode MS" w:hAnsi="Century Gothic" w:cs="Arial Unicode MS"/>
          <w:b/>
        </w:rPr>
      </w:pPr>
      <w:r w:rsidRPr="00FE1A3B">
        <w:rPr>
          <w:rFonts w:ascii="Century Gothic" w:eastAsia="Arial Unicode MS" w:hAnsi="Century Gothic" w:cs="Arial Unicode MS"/>
          <w:b/>
        </w:rPr>
        <w:t>LOGROS OBTENIDOS EN</w:t>
      </w:r>
      <w:r w:rsidR="00843D33" w:rsidRPr="00FE1A3B">
        <w:rPr>
          <w:rFonts w:ascii="Century Gothic" w:eastAsia="Arial Unicode MS" w:hAnsi="Century Gothic" w:cs="Arial Unicode MS"/>
          <w:b/>
        </w:rPr>
        <w:t xml:space="preserve"> LOS PERÍODOS DEL 01 </w:t>
      </w:r>
      <w:r w:rsidR="00FE1A3B" w:rsidRPr="00FE1A3B">
        <w:rPr>
          <w:rFonts w:ascii="Century Gothic" w:eastAsia="Arial Unicode MS" w:hAnsi="Century Gothic" w:cs="Arial Unicode MS"/>
          <w:b/>
        </w:rPr>
        <w:t>OCTUBRE</w:t>
      </w:r>
      <w:r w:rsidR="00843D33" w:rsidRPr="00FE1A3B">
        <w:rPr>
          <w:rFonts w:ascii="Century Gothic" w:eastAsia="Arial Unicode MS" w:hAnsi="Century Gothic" w:cs="Arial Unicode MS"/>
          <w:b/>
        </w:rPr>
        <w:t xml:space="preserve"> AL 31 DE DICIEMBRE</w:t>
      </w:r>
      <w:r w:rsidR="00F83444" w:rsidRPr="00FE1A3B">
        <w:rPr>
          <w:rFonts w:ascii="Century Gothic" w:eastAsia="Arial Unicode MS" w:hAnsi="Century Gothic" w:cs="Arial Unicode MS"/>
          <w:b/>
        </w:rPr>
        <w:t xml:space="preserve"> 202</w:t>
      </w:r>
      <w:r w:rsidR="00FE1A3B" w:rsidRPr="00FE1A3B">
        <w:rPr>
          <w:rFonts w:ascii="Century Gothic" w:eastAsia="Arial Unicode MS" w:hAnsi="Century Gothic" w:cs="Arial Unicode MS"/>
          <w:b/>
        </w:rPr>
        <w:t>3</w:t>
      </w:r>
      <w:r w:rsidRPr="00FE1A3B">
        <w:rPr>
          <w:rFonts w:ascii="Century Gothic" w:eastAsia="Arial Unicode MS" w:hAnsi="Century Gothic" w:cs="Arial Unicode MS"/>
          <w:b/>
        </w:rPr>
        <w:t>.</w:t>
      </w:r>
    </w:p>
    <w:p w14:paraId="0D5C13AA" w14:textId="77777777" w:rsidR="004A3157" w:rsidRPr="004A3157" w:rsidRDefault="00080940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Liquidación de 62 proyectos pendientes desde de liquidar desde 20</w:t>
      </w:r>
      <w:r w:rsidR="00FE1A3B">
        <w:rPr>
          <w:rFonts w:ascii="Century Gothic" w:eastAsia="Arial Unicode MS" w:hAnsi="Century Gothic" w:cs="Arial Unicode MS"/>
          <w:sz w:val="24"/>
          <w:szCs w:val="24"/>
        </w:rPr>
        <w:t>16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al 201</w:t>
      </w:r>
      <w:r w:rsidR="00FE1A3B">
        <w:rPr>
          <w:rFonts w:ascii="Century Gothic" w:eastAsia="Arial Unicode MS" w:hAnsi="Century Gothic" w:cs="Arial Unicode MS"/>
          <w:sz w:val="24"/>
          <w:szCs w:val="24"/>
        </w:rPr>
        <w:t>8</w:t>
      </w:r>
      <w:r w:rsidR="004A315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06B289E" w14:textId="77777777" w:rsidR="004A3157" w:rsidRPr="004A3157" w:rsidRDefault="007616F8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Cumplimiento de plan de actualización contable, 4 cierres por mes.</w:t>
      </w:r>
    </w:p>
    <w:p w14:paraId="4A01F04B" w14:textId="77777777" w:rsidR="00F83444" w:rsidRPr="00F83444" w:rsidRDefault="007616F8" w:rsidP="00F83444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Manejo de los Módulos de Tesorería y Contabilidad en sistema SAFIM</w:t>
      </w:r>
    </w:p>
    <w:p w14:paraId="476C3E3E" w14:textId="77777777" w:rsidR="00F83444" w:rsidRPr="00F83444" w:rsidRDefault="007616F8" w:rsidP="00F83444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Registro del 100% de documentos de ingresos y egresos</w:t>
      </w:r>
    </w:p>
    <w:p w14:paraId="1E9CB7ED" w14:textId="77777777" w:rsidR="0078208D" w:rsidRPr="0078208D" w:rsidRDefault="007616F8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Conciliaciones bancarias con mismo saldo en libro </w:t>
      </w:r>
      <w:r w:rsidR="0078208D">
        <w:rPr>
          <w:rFonts w:ascii="Century Gothic" w:eastAsia="Arial Unicode MS" w:hAnsi="Century Gothic" w:cs="Arial Unicode MS"/>
          <w:sz w:val="24"/>
          <w:szCs w:val="24"/>
        </w:rPr>
        <w:t>y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en bancos</w:t>
      </w:r>
    </w:p>
    <w:p w14:paraId="7D48CC0C" w14:textId="77777777" w:rsidR="00C84324" w:rsidRPr="003C1512" w:rsidRDefault="0078208D" w:rsidP="004A3157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Cumplimiento del 83.34 % de POA 2023</w:t>
      </w:r>
      <w:r w:rsidR="0008094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6CC8D71A" w14:textId="77777777" w:rsidR="003C1512" w:rsidRDefault="003C1512" w:rsidP="003C1512">
      <w:pPr>
        <w:pStyle w:val="Prrafodelista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FF0EC44" w14:textId="77777777" w:rsidR="003C1512" w:rsidRDefault="003C1512" w:rsidP="003C1512">
      <w:pPr>
        <w:pStyle w:val="Prrafodelista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8A4D53B" w14:textId="77777777" w:rsidR="003C1512" w:rsidRPr="004A3157" w:rsidRDefault="003C1512" w:rsidP="003C1512">
      <w:pPr>
        <w:pStyle w:val="Prrafodelista"/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</w:p>
    <w:sectPr w:rsidR="003C1512" w:rsidRPr="004A3157" w:rsidSect="00002D25">
      <w:headerReference w:type="default" r:id="rId13"/>
      <w:footerReference w:type="default" r:id="rId14"/>
      <w:pgSz w:w="12191" w:h="15876" w:code="1"/>
      <w:pgMar w:top="2512" w:right="1701" w:bottom="1418" w:left="1701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8724" w14:textId="77777777" w:rsidR="00010B1A" w:rsidRDefault="00010B1A" w:rsidP="00D80062">
      <w:pPr>
        <w:spacing w:after="0" w:line="240" w:lineRule="auto"/>
      </w:pPr>
      <w:r>
        <w:separator/>
      </w:r>
    </w:p>
  </w:endnote>
  <w:endnote w:type="continuationSeparator" w:id="0">
    <w:p w14:paraId="37629C87" w14:textId="77777777" w:rsidR="00010B1A" w:rsidRDefault="00010B1A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FFDC" w14:textId="77777777" w:rsidR="00010B1A" w:rsidRDefault="00010B1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513E4444" wp14:editId="5CCDBA92">
          <wp:simplePos x="0" y="0"/>
          <wp:positionH relativeFrom="column">
            <wp:posOffset>-1137285</wp:posOffset>
          </wp:positionH>
          <wp:positionV relativeFrom="paragraph">
            <wp:posOffset>-15875</wp:posOffset>
          </wp:positionV>
          <wp:extent cx="7991475" cy="1438275"/>
          <wp:effectExtent l="19050" t="0" r="9525" b="0"/>
          <wp:wrapNone/>
          <wp:docPr id="20" name="0 Imagen" descr="COTABILIDAD 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ABILIDAD 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597F2E" w14:textId="77777777" w:rsidR="00010B1A" w:rsidRDefault="00010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87B5" w14:textId="77777777" w:rsidR="00010B1A" w:rsidRDefault="00010B1A" w:rsidP="00D80062">
      <w:pPr>
        <w:spacing w:after="0" w:line="240" w:lineRule="auto"/>
      </w:pPr>
      <w:r>
        <w:separator/>
      </w:r>
    </w:p>
  </w:footnote>
  <w:footnote w:type="continuationSeparator" w:id="0">
    <w:p w14:paraId="53BBBD00" w14:textId="77777777" w:rsidR="00010B1A" w:rsidRDefault="00010B1A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2E7C" w14:textId="77777777" w:rsidR="00010B1A" w:rsidRDefault="00010B1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DDA3B60" wp14:editId="1824A799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81925" cy="1571625"/>
          <wp:effectExtent l="19050" t="0" r="9525" b="0"/>
          <wp:wrapNone/>
          <wp:docPr id="19" name="3 Imagen" descr="EN BLANCO 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 BLANCO 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192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F63FB3B" w14:textId="77777777" w:rsidR="00010B1A" w:rsidRDefault="00010B1A">
    <w:pPr>
      <w:pStyle w:val="Encabezado"/>
    </w:pPr>
  </w:p>
  <w:p w14:paraId="09A9B20C" w14:textId="77777777" w:rsidR="00010B1A" w:rsidRDefault="00010B1A">
    <w:pPr>
      <w:pStyle w:val="Encabezado"/>
    </w:pPr>
  </w:p>
  <w:p w14:paraId="4E201EE5" w14:textId="77777777" w:rsidR="00010B1A" w:rsidRDefault="00010B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9462967">
    <w:abstractNumId w:val="5"/>
  </w:num>
  <w:num w:numId="2" w16cid:durableId="1216626481">
    <w:abstractNumId w:val="30"/>
  </w:num>
  <w:num w:numId="3" w16cid:durableId="484663256">
    <w:abstractNumId w:val="37"/>
  </w:num>
  <w:num w:numId="4" w16cid:durableId="2133985108">
    <w:abstractNumId w:val="41"/>
  </w:num>
  <w:num w:numId="5" w16cid:durableId="1333411479">
    <w:abstractNumId w:val="24"/>
  </w:num>
  <w:num w:numId="6" w16cid:durableId="1032530892">
    <w:abstractNumId w:val="17"/>
  </w:num>
  <w:num w:numId="7" w16cid:durableId="959990955">
    <w:abstractNumId w:val="6"/>
  </w:num>
  <w:num w:numId="8" w16cid:durableId="1222401725">
    <w:abstractNumId w:val="12"/>
  </w:num>
  <w:num w:numId="9" w16cid:durableId="1840533834">
    <w:abstractNumId w:val="19"/>
  </w:num>
  <w:num w:numId="10" w16cid:durableId="737940292">
    <w:abstractNumId w:val="7"/>
  </w:num>
  <w:num w:numId="11" w16cid:durableId="927932851">
    <w:abstractNumId w:val="35"/>
  </w:num>
  <w:num w:numId="12" w16cid:durableId="775178031">
    <w:abstractNumId w:val="1"/>
  </w:num>
  <w:num w:numId="13" w16cid:durableId="1452895245">
    <w:abstractNumId w:val="0"/>
  </w:num>
  <w:num w:numId="14" w16cid:durableId="167915030">
    <w:abstractNumId w:val="23"/>
  </w:num>
  <w:num w:numId="15" w16cid:durableId="2076583275">
    <w:abstractNumId w:val="4"/>
  </w:num>
  <w:num w:numId="16" w16cid:durableId="2109765545">
    <w:abstractNumId w:val="28"/>
  </w:num>
  <w:num w:numId="17" w16cid:durableId="685059224">
    <w:abstractNumId w:val="11"/>
  </w:num>
  <w:num w:numId="18" w16cid:durableId="551961878">
    <w:abstractNumId w:val="13"/>
  </w:num>
  <w:num w:numId="19" w16cid:durableId="1457987739">
    <w:abstractNumId w:val="43"/>
  </w:num>
  <w:num w:numId="20" w16cid:durableId="156504000">
    <w:abstractNumId w:val="18"/>
  </w:num>
  <w:num w:numId="21" w16cid:durableId="1962030608">
    <w:abstractNumId w:val="36"/>
  </w:num>
  <w:num w:numId="22" w16cid:durableId="171800328">
    <w:abstractNumId w:val="2"/>
  </w:num>
  <w:num w:numId="23" w16cid:durableId="1291857981">
    <w:abstractNumId w:val="21"/>
  </w:num>
  <w:num w:numId="24" w16cid:durableId="1418821022">
    <w:abstractNumId w:val="38"/>
  </w:num>
  <w:num w:numId="25" w16cid:durableId="1992715126">
    <w:abstractNumId w:val="42"/>
  </w:num>
  <w:num w:numId="26" w16cid:durableId="1859195288">
    <w:abstractNumId w:val="22"/>
  </w:num>
  <w:num w:numId="27" w16cid:durableId="1434547919">
    <w:abstractNumId w:val="9"/>
  </w:num>
  <w:num w:numId="28" w16cid:durableId="1128015730">
    <w:abstractNumId w:val="16"/>
  </w:num>
  <w:num w:numId="29" w16cid:durableId="1056783849">
    <w:abstractNumId w:val="3"/>
  </w:num>
  <w:num w:numId="30" w16cid:durableId="1807240857">
    <w:abstractNumId w:val="10"/>
  </w:num>
  <w:num w:numId="31" w16cid:durableId="843056041">
    <w:abstractNumId w:val="26"/>
  </w:num>
  <w:num w:numId="32" w16cid:durableId="167643233">
    <w:abstractNumId w:val="29"/>
  </w:num>
  <w:num w:numId="33" w16cid:durableId="483859264">
    <w:abstractNumId w:val="40"/>
  </w:num>
  <w:num w:numId="34" w16cid:durableId="893732198">
    <w:abstractNumId w:val="15"/>
  </w:num>
  <w:num w:numId="35" w16cid:durableId="1666282018">
    <w:abstractNumId w:val="8"/>
  </w:num>
  <w:num w:numId="36" w16cid:durableId="1783527120">
    <w:abstractNumId w:val="20"/>
  </w:num>
  <w:num w:numId="37" w16cid:durableId="2118409202">
    <w:abstractNumId w:val="33"/>
  </w:num>
  <w:num w:numId="38" w16cid:durableId="84038703">
    <w:abstractNumId w:val="25"/>
  </w:num>
  <w:num w:numId="39" w16cid:durableId="2031178012">
    <w:abstractNumId w:val="27"/>
  </w:num>
  <w:num w:numId="40" w16cid:durableId="1661928608">
    <w:abstractNumId w:val="31"/>
  </w:num>
  <w:num w:numId="41" w16cid:durableId="352195788">
    <w:abstractNumId w:val="32"/>
  </w:num>
  <w:num w:numId="42" w16cid:durableId="1132134477">
    <w:abstractNumId w:val="34"/>
  </w:num>
  <w:num w:numId="43" w16cid:durableId="945118549">
    <w:abstractNumId w:val="14"/>
  </w:num>
  <w:num w:numId="44" w16cid:durableId="20767062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62"/>
    <w:rsid w:val="000006BA"/>
    <w:rsid w:val="00002D25"/>
    <w:rsid w:val="00004BD3"/>
    <w:rsid w:val="00004D3C"/>
    <w:rsid w:val="00005DB4"/>
    <w:rsid w:val="00010B1A"/>
    <w:rsid w:val="00017DBF"/>
    <w:rsid w:val="00023380"/>
    <w:rsid w:val="00033973"/>
    <w:rsid w:val="00035ADD"/>
    <w:rsid w:val="00040E00"/>
    <w:rsid w:val="00043460"/>
    <w:rsid w:val="000513ED"/>
    <w:rsid w:val="00051E94"/>
    <w:rsid w:val="0005562A"/>
    <w:rsid w:val="00056F81"/>
    <w:rsid w:val="00057688"/>
    <w:rsid w:val="000576D0"/>
    <w:rsid w:val="00067674"/>
    <w:rsid w:val="00080940"/>
    <w:rsid w:val="000A5787"/>
    <w:rsid w:val="000B235A"/>
    <w:rsid w:val="000B5116"/>
    <w:rsid w:val="000F4801"/>
    <w:rsid w:val="000F509E"/>
    <w:rsid w:val="00100394"/>
    <w:rsid w:val="001024BA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5BF0"/>
    <w:rsid w:val="001D6B4C"/>
    <w:rsid w:val="001E0813"/>
    <w:rsid w:val="001E3A35"/>
    <w:rsid w:val="001E6CA7"/>
    <w:rsid w:val="002174EB"/>
    <w:rsid w:val="00245A9B"/>
    <w:rsid w:val="00245CF0"/>
    <w:rsid w:val="0025272C"/>
    <w:rsid w:val="00254ECE"/>
    <w:rsid w:val="00263C81"/>
    <w:rsid w:val="00280380"/>
    <w:rsid w:val="00280C39"/>
    <w:rsid w:val="00283AE3"/>
    <w:rsid w:val="00283C9C"/>
    <w:rsid w:val="00286EAF"/>
    <w:rsid w:val="002A3CC3"/>
    <w:rsid w:val="002B2EF7"/>
    <w:rsid w:val="002F1892"/>
    <w:rsid w:val="00300F52"/>
    <w:rsid w:val="00303A4C"/>
    <w:rsid w:val="00314F03"/>
    <w:rsid w:val="003166CD"/>
    <w:rsid w:val="00326BA4"/>
    <w:rsid w:val="003415C3"/>
    <w:rsid w:val="00343CB8"/>
    <w:rsid w:val="0034682F"/>
    <w:rsid w:val="00352E0D"/>
    <w:rsid w:val="003531A1"/>
    <w:rsid w:val="00387727"/>
    <w:rsid w:val="003923F7"/>
    <w:rsid w:val="00393243"/>
    <w:rsid w:val="003964A5"/>
    <w:rsid w:val="003A0773"/>
    <w:rsid w:val="003C1512"/>
    <w:rsid w:val="003C66E0"/>
    <w:rsid w:val="003F3B07"/>
    <w:rsid w:val="003F53A8"/>
    <w:rsid w:val="0040207D"/>
    <w:rsid w:val="004238C3"/>
    <w:rsid w:val="00425DCF"/>
    <w:rsid w:val="00427BFB"/>
    <w:rsid w:val="004304A7"/>
    <w:rsid w:val="00431316"/>
    <w:rsid w:val="004606A8"/>
    <w:rsid w:val="00471E31"/>
    <w:rsid w:val="0047518F"/>
    <w:rsid w:val="00477EB6"/>
    <w:rsid w:val="004A3157"/>
    <w:rsid w:val="004B0412"/>
    <w:rsid w:val="004C0452"/>
    <w:rsid w:val="004C16D0"/>
    <w:rsid w:val="004D53EF"/>
    <w:rsid w:val="004D6070"/>
    <w:rsid w:val="004E2777"/>
    <w:rsid w:val="004F42A9"/>
    <w:rsid w:val="00522FD6"/>
    <w:rsid w:val="00525C2B"/>
    <w:rsid w:val="0052755B"/>
    <w:rsid w:val="00530FDD"/>
    <w:rsid w:val="00557E92"/>
    <w:rsid w:val="00564EA3"/>
    <w:rsid w:val="00582A06"/>
    <w:rsid w:val="00584EDA"/>
    <w:rsid w:val="00585FF6"/>
    <w:rsid w:val="005A23B5"/>
    <w:rsid w:val="005A2805"/>
    <w:rsid w:val="005C59AC"/>
    <w:rsid w:val="005E4EA6"/>
    <w:rsid w:val="005F0B14"/>
    <w:rsid w:val="005F4AF2"/>
    <w:rsid w:val="00606622"/>
    <w:rsid w:val="006209B4"/>
    <w:rsid w:val="0066191D"/>
    <w:rsid w:val="00662FD0"/>
    <w:rsid w:val="00667653"/>
    <w:rsid w:val="00680822"/>
    <w:rsid w:val="006914B8"/>
    <w:rsid w:val="00694AC7"/>
    <w:rsid w:val="0069769A"/>
    <w:rsid w:val="006A5F47"/>
    <w:rsid w:val="006B32D7"/>
    <w:rsid w:val="006C5B63"/>
    <w:rsid w:val="006C67D9"/>
    <w:rsid w:val="006C7B56"/>
    <w:rsid w:val="006E60AC"/>
    <w:rsid w:val="006E6202"/>
    <w:rsid w:val="006F60BC"/>
    <w:rsid w:val="0072218F"/>
    <w:rsid w:val="007274C1"/>
    <w:rsid w:val="00742760"/>
    <w:rsid w:val="007514B4"/>
    <w:rsid w:val="007616F8"/>
    <w:rsid w:val="00772989"/>
    <w:rsid w:val="0078208D"/>
    <w:rsid w:val="0078394C"/>
    <w:rsid w:val="007A17E3"/>
    <w:rsid w:val="007A3B23"/>
    <w:rsid w:val="007A6E1F"/>
    <w:rsid w:val="007B1A7C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A0963"/>
    <w:rsid w:val="008A3BAA"/>
    <w:rsid w:val="008B7835"/>
    <w:rsid w:val="008C0776"/>
    <w:rsid w:val="008C216A"/>
    <w:rsid w:val="008C419E"/>
    <w:rsid w:val="008C530C"/>
    <w:rsid w:val="008D2052"/>
    <w:rsid w:val="008E71DC"/>
    <w:rsid w:val="008F0DB8"/>
    <w:rsid w:val="008F16FB"/>
    <w:rsid w:val="008F3381"/>
    <w:rsid w:val="009175B6"/>
    <w:rsid w:val="00917C4D"/>
    <w:rsid w:val="009230B3"/>
    <w:rsid w:val="00924335"/>
    <w:rsid w:val="00926191"/>
    <w:rsid w:val="00932704"/>
    <w:rsid w:val="00935A60"/>
    <w:rsid w:val="00957998"/>
    <w:rsid w:val="009647D9"/>
    <w:rsid w:val="00966621"/>
    <w:rsid w:val="009845D5"/>
    <w:rsid w:val="00985D77"/>
    <w:rsid w:val="009A0D32"/>
    <w:rsid w:val="009C51EE"/>
    <w:rsid w:val="009D497E"/>
    <w:rsid w:val="009D5BBD"/>
    <w:rsid w:val="009E236F"/>
    <w:rsid w:val="009E7C30"/>
    <w:rsid w:val="009F7CBF"/>
    <w:rsid w:val="00A04A06"/>
    <w:rsid w:val="00A0507E"/>
    <w:rsid w:val="00A10693"/>
    <w:rsid w:val="00A10A08"/>
    <w:rsid w:val="00A13EC4"/>
    <w:rsid w:val="00A30502"/>
    <w:rsid w:val="00A368C3"/>
    <w:rsid w:val="00A413B9"/>
    <w:rsid w:val="00A444D5"/>
    <w:rsid w:val="00A45970"/>
    <w:rsid w:val="00A47EA1"/>
    <w:rsid w:val="00A62E94"/>
    <w:rsid w:val="00A71255"/>
    <w:rsid w:val="00A81430"/>
    <w:rsid w:val="00A860E9"/>
    <w:rsid w:val="00A9285F"/>
    <w:rsid w:val="00A92D87"/>
    <w:rsid w:val="00A9388D"/>
    <w:rsid w:val="00A97A21"/>
    <w:rsid w:val="00AA3734"/>
    <w:rsid w:val="00AD1ED2"/>
    <w:rsid w:val="00AD5A51"/>
    <w:rsid w:val="00AF130A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61C50"/>
    <w:rsid w:val="00B75566"/>
    <w:rsid w:val="00B8031A"/>
    <w:rsid w:val="00B824DA"/>
    <w:rsid w:val="00B87CA8"/>
    <w:rsid w:val="00BA31C4"/>
    <w:rsid w:val="00BA46AE"/>
    <w:rsid w:val="00BA5F74"/>
    <w:rsid w:val="00BC0DE3"/>
    <w:rsid w:val="00BC35F0"/>
    <w:rsid w:val="00BC697E"/>
    <w:rsid w:val="00BD36AF"/>
    <w:rsid w:val="00BD3FE7"/>
    <w:rsid w:val="00BE3823"/>
    <w:rsid w:val="00C10407"/>
    <w:rsid w:val="00C14F30"/>
    <w:rsid w:val="00C5006F"/>
    <w:rsid w:val="00C51337"/>
    <w:rsid w:val="00C52840"/>
    <w:rsid w:val="00C67239"/>
    <w:rsid w:val="00C84324"/>
    <w:rsid w:val="00C955AD"/>
    <w:rsid w:val="00CA3AF9"/>
    <w:rsid w:val="00CA73C2"/>
    <w:rsid w:val="00CB739F"/>
    <w:rsid w:val="00CC5B94"/>
    <w:rsid w:val="00CC633C"/>
    <w:rsid w:val="00CE452E"/>
    <w:rsid w:val="00D01893"/>
    <w:rsid w:val="00D161D5"/>
    <w:rsid w:val="00D16F4D"/>
    <w:rsid w:val="00D17FC0"/>
    <w:rsid w:val="00D20A2A"/>
    <w:rsid w:val="00D45717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C2621"/>
    <w:rsid w:val="00DC2FDA"/>
    <w:rsid w:val="00DC3814"/>
    <w:rsid w:val="00DD229D"/>
    <w:rsid w:val="00DE0AB3"/>
    <w:rsid w:val="00DE413D"/>
    <w:rsid w:val="00DF42AA"/>
    <w:rsid w:val="00E12607"/>
    <w:rsid w:val="00E16DD1"/>
    <w:rsid w:val="00E17088"/>
    <w:rsid w:val="00E41A66"/>
    <w:rsid w:val="00E452BB"/>
    <w:rsid w:val="00E63826"/>
    <w:rsid w:val="00E65F67"/>
    <w:rsid w:val="00E730BA"/>
    <w:rsid w:val="00E80CF4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C401D"/>
    <w:rsid w:val="00ED493D"/>
    <w:rsid w:val="00ED5A22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30202"/>
    <w:rsid w:val="00F34B1B"/>
    <w:rsid w:val="00F3595A"/>
    <w:rsid w:val="00F57841"/>
    <w:rsid w:val="00F62941"/>
    <w:rsid w:val="00F75FDE"/>
    <w:rsid w:val="00F8195F"/>
    <w:rsid w:val="00F83444"/>
    <w:rsid w:val="00F871DB"/>
    <w:rsid w:val="00FA6B1F"/>
    <w:rsid w:val="00FA7D44"/>
    <w:rsid w:val="00FB10F7"/>
    <w:rsid w:val="00FB52BC"/>
    <w:rsid w:val="00FB6D0F"/>
    <w:rsid w:val="00FC4421"/>
    <w:rsid w:val="00FD2B48"/>
    <w:rsid w:val="00FD7472"/>
    <w:rsid w:val="00FE0743"/>
    <w:rsid w:val="00FE1A3B"/>
    <w:rsid w:val="00FE694C"/>
    <w:rsid w:val="00FE73A5"/>
    <w:rsid w:val="00FF1BA1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DE6956D"/>
  <w15:docId w15:val="{04C281C7-8CE8-4D8F-A8AE-59D7EE9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8B7835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B78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Contador Municipal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Arial Unicode MS" pitchFamily="34" charset="-128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/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Asistente Contable</a:t>
          </a:r>
          <a:endParaRPr lang="es-ES" sz="1100" b="1"/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/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/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159716">
        <dgm:presLayoutVars>
          <dgm:chPref val="3"/>
        </dgm:presLayoutVars>
      </dgm:prSet>
      <dgm:spPr/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2"/>
      <dgm:spPr/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2" custScaleX="119124" custScaleY="168798">
        <dgm:presLayoutVars>
          <dgm:chPref val="3"/>
        </dgm:presLayoutVars>
      </dgm:prSet>
      <dgm:spPr/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2"/>
      <dgm:spPr/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1"/>
      <dgm:spPr/>
    </dgm:pt>
    <dgm:pt modelId="{5E6F2A1A-6D71-47A2-A427-F905BC6DFC3B}" type="pres">
      <dgm:prSet presAssocID="{868E2166-1586-4325-B5F7-87F42C1C64E4}" presName="text2" presStyleLbl="fgAcc2" presStyleIdx="1" presStyleCnt="2" custScaleX="125932" custScaleY="165520">
        <dgm:presLayoutVars>
          <dgm:chPref val="3"/>
        </dgm:presLayoutVars>
      </dgm:prSet>
      <dgm:spPr/>
    </dgm:pt>
    <dgm:pt modelId="{7E3B21E2-E528-4612-89B4-E44FFE59E64E}" type="pres">
      <dgm:prSet presAssocID="{868E2166-1586-4325-B5F7-87F42C1C64E4}" presName="hierChild3" presStyleCnt="0"/>
      <dgm:spPr/>
    </dgm:pt>
  </dgm:ptLst>
  <dgm:cxnLst>
    <dgm:cxn modelId="{8D14843F-2B00-4665-8AF8-46BB9DF3D999}" type="presOf" srcId="{DEE13BBC-7866-421E-874A-8A5E3DF186FB}" destId="{A7393D3C-B977-4147-B7AD-78D45114D7EE}" srcOrd="0" destOrd="0" presId="urn:microsoft.com/office/officeart/2005/8/layout/hierarchy1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08646A7D-1132-4E3A-B94F-8E418D4C076B}" type="presOf" srcId="{55A822B3-A5DE-4B84-87C6-3F222F1EC58E}" destId="{5E18787F-15AF-4191-90BE-0DC87C1AA3D4}" srcOrd="0" destOrd="0" presId="urn:microsoft.com/office/officeart/2005/8/layout/hierarchy1"/>
    <dgm:cxn modelId="{8520F99D-147B-4EF7-9EF2-C579565F8004}" type="presOf" srcId="{8052BAA2-C399-4F56-A2CE-BB2694F282D2}" destId="{F58EA696-5862-4231-8B03-9FA604C18CF5}" srcOrd="0" destOrd="0" presId="urn:microsoft.com/office/officeart/2005/8/layout/hierarchy1"/>
    <dgm:cxn modelId="{656701CA-CA6D-4EF9-A4D1-AA870988A704}" type="presOf" srcId="{C23CF502-4CFE-4635-B1D9-E0601E92491D}" destId="{8784CC62-4911-4EA7-A649-0727B843A3BF}" srcOrd="0" destOrd="0" presId="urn:microsoft.com/office/officeart/2005/8/layout/hierarchy1"/>
    <dgm:cxn modelId="{D44B7ACC-8CFE-4864-8487-980BB1ECE7A6}" type="presOf" srcId="{6780D511-A8EC-4835-A5F7-14AB109A59D0}" destId="{68943E54-A04B-41C6-89E7-2746CCB81197}" srcOrd="0" destOrd="0" presId="urn:microsoft.com/office/officeart/2005/8/layout/hierarchy1"/>
    <dgm:cxn modelId="{C14212CE-2912-4C38-8C39-954DA5448B23}" type="presOf" srcId="{868E2166-1586-4325-B5F7-87F42C1C64E4}" destId="{5E6F2A1A-6D71-47A2-A427-F905BC6DFC3B}" srcOrd="0" destOrd="0" presId="urn:microsoft.com/office/officeart/2005/8/layout/hierarchy1"/>
    <dgm:cxn modelId="{76BFA43C-7C26-43E3-B3D8-0E3BF83B8E5B}" type="presParOf" srcId="{F58EA696-5862-4231-8B03-9FA604C18CF5}" destId="{DF0630FA-7828-4F94-AC60-65ABBA994E72}" srcOrd="0" destOrd="0" presId="urn:microsoft.com/office/officeart/2005/8/layout/hierarchy1"/>
    <dgm:cxn modelId="{519439C5-5564-48D4-98F0-F20CA53AE72A}" type="presParOf" srcId="{DF0630FA-7828-4F94-AC60-65ABBA994E72}" destId="{D0A73C47-4110-43BB-8253-0E0AFF34BE78}" srcOrd="0" destOrd="0" presId="urn:microsoft.com/office/officeart/2005/8/layout/hierarchy1"/>
    <dgm:cxn modelId="{E69E6914-21FF-445A-B3CE-BE707A9A67C7}" type="presParOf" srcId="{D0A73C47-4110-43BB-8253-0E0AFF34BE78}" destId="{67D10EF0-DA83-4597-82B5-A245A7E1CD0E}" srcOrd="0" destOrd="0" presId="urn:microsoft.com/office/officeart/2005/8/layout/hierarchy1"/>
    <dgm:cxn modelId="{E1E4033C-DA61-4659-9C63-99441BC327C5}" type="presParOf" srcId="{D0A73C47-4110-43BB-8253-0E0AFF34BE78}" destId="{68943E54-A04B-41C6-89E7-2746CCB81197}" srcOrd="1" destOrd="0" presId="urn:microsoft.com/office/officeart/2005/8/layout/hierarchy1"/>
    <dgm:cxn modelId="{0390B4F7-D75C-4665-8A4C-B79D7849F80D}" type="presParOf" srcId="{DF0630FA-7828-4F94-AC60-65ABBA994E72}" destId="{A457CFA9-BF0A-4C09-9752-E8A39B14D3F6}" srcOrd="1" destOrd="0" presId="urn:microsoft.com/office/officeart/2005/8/layout/hierarchy1"/>
    <dgm:cxn modelId="{FA105E90-CB8E-4F98-8803-1816C2E39CC9}" type="presParOf" srcId="{A457CFA9-BF0A-4C09-9752-E8A39B14D3F6}" destId="{A7393D3C-B977-4147-B7AD-78D45114D7EE}" srcOrd="0" destOrd="0" presId="urn:microsoft.com/office/officeart/2005/8/layout/hierarchy1"/>
    <dgm:cxn modelId="{7305C179-9FE7-422C-B901-4858731EF5F4}" type="presParOf" srcId="{A457CFA9-BF0A-4C09-9752-E8A39B14D3F6}" destId="{F571CC67-182A-436D-A603-51D1196EDDE3}" srcOrd="1" destOrd="0" presId="urn:microsoft.com/office/officeart/2005/8/layout/hierarchy1"/>
    <dgm:cxn modelId="{4F3C05D2-C16E-48ED-B295-B4723C0EBDE1}" type="presParOf" srcId="{F571CC67-182A-436D-A603-51D1196EDDE3}" destId="{565B523A-D976-47FA-AD6A-6406513BE961}" srcOrd="0" destOrd="0" presId="urn:microsoft.com/office/officeart/2005/8/layout/hierarchy1"/>
    <dgm:cxn modelId="{1B73098D-A655-4770-BA1A-AFC0452B4967}" type="presParOf" srcId="{565B523A-D976-47FA-AD6A-6406513BE961}" destId="{52607E55-5F4C-435E-8BE5-1FFF924ECE44}" srcOrd="0" destOrd="0" presId="urn:microsoft.com/office/officeart/2005/8/layout/hierarchy1"/>
    <dgm:cxn modelId="{5D11D172-7BCF-4718-9C07-3E78EA6223AA}" type="presParOf" srcId="{565B523A-D976-47FA-AD6A-6406513BE961}" destId="{8784CC62-4911-4EA7-A649-0727B843A3BF}" srcOrd="1" destOrd="0" presId="urn:microsoft.com/office/officeart/2005/8/layout/hierarchy1"/>
    <dgm:cxn modelId="{4C358FF6-6744-4A27-8C52-6B569377F68A}" type="presParOf" srcId="{F571CC67-182A-436D-A603-51D1196EDDE3}" destId="{F063438E-0CA5-45B7-B69E-8B8FCBAEC976}" srcOrd="1" destOrd="0" presId="urn:microsoft.com/office/officeart/2005/8/layout/hierarchy1"/>
    <dgm:cxn modelId="{8D5BA0E5-72F7-4569-B5D6-59908BA5B069}" type="presParOf" srcId="{A457CFA9-BF0A-4C09-9752-E8A39B14D3F6}" destId="{5E18787F-15AF-4191-90BE-0DC87C1AA3D4}" srcOrd="2" destOrd="0" presId="urn:microsoft.com/office/officeart/2005/8/layout/hierarchy1"/>
    <dgm:cxn modelId="{29CFF985-A239-4A1F-8053-ADC0D0E3D103}" type="presParOf" srcId="{A457CFA9-BF0A-4C09-9752-E8A39B14D3F6}" destId="{D392392C-5516-40B3-9782-3BB1504F3B54}" srcOrd="3" destOrd="0" presId="urn:microsoft.com/office/officeart/2005/8/layout/hierarchy1"/>
    <dgm:cxn modelId="{AF8AB955-D1AB-425B-BB7A-0B23999E75C7}" type="presParOf" srcId="{D392392C-5516-40B3-9782-3BB1504F3B54}" destId="{D807321C-2A27-4E58-BEBD-96544E62C6BB}" srcOrd="0" destOrd="0" presId="urn:microsoft.com/office/officeart/2005/8/layout/hierarchy1"/>
    <dgm:cxn modelId="{244C439D-8E1B-49E8-830A-E67244C5B3C9}" type="presParOf" srcId="{D807321C-2A27-4E58-BEBD-96544E62C6BB}" destId="{C6AEDC56-D6F4-4100-8F0C-CD77AD70A623}" srcOrd="0" destOrd="0" presId="urn:microsoft.com/office/officeart/2005/8/layout/hierarchy1"/>
    <dgm:cxn modelId="{1C148710-0A8B-407C-A598-55CECFA9CB20}" type="presParOf" srcId="{D807321C-2A27-4E58-BEBD-96544E62C6BB}" destId="{5E6F2A1A-6D71-47A2-A427-F905BC6DFC3B}" srcOrd="1" destOrd="0" presId="urn:microsoft.com/office/officeart/2005/8/layout/hierarchy1"/>
    <dgm:cxn modelId="{5C918C0F-C3D3-490B-B03E-DDB3E2580398}" type="presParOf" srcId="{D392392C-5516-40B3-9782-3BB1504F3B54}" destId="{7E3B21E2-E528-4612-89B4-E44FFE59E64E}" srcOrd="1" destOrd="0" presId="urn:microsoft.com/office/officeart/2005/8/layout/hierarchy1"/>
  </dgm:cxnLst>
  <dgm:bg>
    <a:blipFill>
      <a:blip xmlns:r="http://schemas.openxmlformats.org/officeDocument/2006/relationships" r:embed="rId1"/>
      <a:tile tx="0" ty="0" sx="100000" sy="100000" flip="none" algn="tl"/>
    </a:blipFill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18787F-15AF-4191-90BE-0DC87C1AA3D4}">
      <dsp:nvSpPr>
        <dsp:cNvPr id="0" name=""/>
        <dsp:cNvSpPr/>
      </dsp:nvSpPr>
      <dsp:spPr>
        <a:xfrm>
          <a:off x="3338972" y="1265909"/>
          <a:ext cx="1407782" cy="5793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796"/>
              </a:lnTo>
              <a:lnTo>
                <a:pt x="1407782" y="394796"/>
              </a:lnTo>
              <a:lnTo>
                <a:pt x="1407782" y="57932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1863383" y="1265909"/>
          <a:ext cx="1475589" cy="579329"/>
        </a:xfrm>
        <a:custGeom>
          <a:avLst/>
          <a:gdLst/>
          <a:ahLst/>
          <a:cxnLst/>
          <a:rect l="0" t="0" r="0" b="0"/>
          <a:pathLst>
            <a:path>
              <a:moveTo>
                <a:pt x="1475589" y="0"/>
              </a:moveTo>
              <a:lnTo>
                <a:pt x="1475589" y="394796"/>
              </a:lnTo>
              <a:lnTo>
                <a:pt x="0" y="394796"/>
              </a:lnTo>
              <a:lnTo>
                <a:pt x="0" y="57932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1748230" y="1012"/>
          <a:ext cx="3181484" cy="126489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1969559" y="211275"/>
          <a:ext cx="3181484" cy="1264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Contador Municipal</a:t>
          </a:r>
        </a:p>
      </dsp:txBody>
      <dsp:txXfrm>
        <a:off x="2006607" y="248323"/>
        <a:ext cx="3107388" cy="1190800"/>
      </dsp:txXfrm>
    </dsp:sp>
    <dsp:sp modelId="{52607E55-5F4C-435E-8BE5-1FFF924ECE44}">
      <dsp:nvSpPr>
        <dsp:cNvPr id="0" name=""/>
        <dsp:cNvSpPr/>
      </dsp:nvSpPr>
      <dsp:spPr>
        <a:xfrm>
          <a:off x="676930" y="1845238"/>
          <a:ext cx="2372906" cy="213512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898259" y="2055501"/>
          <a:ext cx="2372906" cy="2135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</a:p>
      </dsp:txBody>
      <dsp:txXfrm>
        <a:off x="960795" y="2118037"/>
        <a:ext cx="2247834" cy="2010048"/>
      </dsp:txXfrm>
    </dsp:sp>
    <dsp:sp modelId="{C6AEDC56-D6F4-4100-8F0C-CD77AD70A623}">
      <dsp:nvSpPr>
        <dsp:cNvPr id="0" name=""/>
        <dsp:cNvSpPr/>
      </dsp:nvSpPr>
      <dsp:spPr>
        <a:xfrm>
          <a:off x="3492495" y="1845238"/>
          <a:ext cx="2508519" cy="209365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3713824" y="2055501"/>
          <a:ext cx="2508519" cy="2093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Asistente Contable</a:t>
          </a:r>
          <a:endParaRPr lang="es-ES" sz="1100" b="1" kern="1200"/>
        </a:p>
      </dsp:txBody>
      <dsp:txXfrm>
        <a:off x="3775145" y="2116822"/>
        <a:ext cx="2385877" cy="19710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7C93-575C-42D1-8291-7140395E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UAIP APOPA</cp:lastModifiedBy>
  <cp:revision>3</cp:revision>
  <cp:lastPrinted>2016-12-22T19:42:00Z</cp:lastPrinted>
  <dcterms:created xsi:type="dcterms:W3CDTF">2024-01-12T21:12:00Z</dcterms:created>
  <dcterms:modified xsi:type="dcterms:W3CDTF">2024-01-25T17:35:00Z</dcterms:modified>
</cp:coreProperties>
</file>