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14" w:rsidRPr="00FD5314" w:rsidRDefault="00FD5314" w:rsidP="00FD5314">
      <w:pPr>
        <w:tabs>
          <w:tab w:val="left" w:pos="3630"/>
        </w:tabs>
        <w:spacing w:after="0" w:line="276" w:lineRule="auto"/>
        <w:jc w:val="both"/>
        <w:rPr>
          <w:rFonts w:ascii="Book Antiqua" w:eastAsia="Calibri" w:hAnsi="Book Antiqua" w:cs="Times New Roman"/>
          <w:b/>
          <w:sz w:val="24"/>
          <w:szCs w:val="24"/>
        </w:rPr>
      </w:pPr>
      <w:r w:rsidRPr="00FD5314">
        <w:rPr>
          <w:rFonts w:ascii="Book Antiqua" w:eastAsia="Calibri" w:hAnsi="Book Antiqua" w:cs="Times New Roman"/>
          <w:b/>
          <w:sz w:val="24"/>
          <w:szCs w:val="24"/>
        </w:rPr>
        <w:t xml:space="preserve">ESTADÍSTICAS GENERADAS EN LA UNIDAD DE SECRETARÍA MUNICIPAL, CORRESPONDIENTE AL PRIMER TRIMESTRE DEL AÑO 2023. </w:t>
      </w:r>
    </w:p>
    <w:p w:rsidR="00FD5314" w:rsidRDefault="00FD5314" w:rsidP="00FD5314">
      <w:pPr>
        <w:tabs>
          <w:tab w:val="left" w:pos="3630"/>
        </w:tabs>
        <w:spacing w:after="0" w:line="276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FD5314" w:rsidRPr="00FD5314" w:rsidRDefault="00FD5314" w:rsidP="00FD5314">
      <w:pPr>
        <w:tabs>
          <w:tab w:val="left" w:pos="3630"/>
        </w:tabs>
        <w:spacing w:after="0" w:line="276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bookmarkStart w:id="0" w:name="_GoBack"/>
      <w:bookmarkEnd w:id="0"/>
    </w:p>
    <w:tbl>
      <w:tblPr>
        <w:tblW w:w="8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1275"/>
        <w:gridCol w:w="3674"/>
        <w:gridCol w:w="2650"/>
      </w:tblGrid>
      <w:tr w:rsidR="00FD5314" w:rsidRPr="00FD5314" w:rsidTr="00FD5314">
        <w:trPr>
          <w:trHeight w:val="20"/>
          <w:jc w:val="center"/>
        </w:trPr>
        <w:tc>
          <w:tcPr>
            <w:tcW w:w="8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1er. Informe Trimestral de Estadísticas Generadas en Secretaría Municipal.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Mes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Sesiones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Tipo de Sesión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Cantidad de Acuerdos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ene-2023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28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15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34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28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10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feb-2023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10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29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14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11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17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mar-2023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29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9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15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24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16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314" w:rsidRPr="00FD5314" w:rsidRDefault="00FD5314" w:rsidP="00FD531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22</w:t>
            </w:r>
          </w:p>
        </w:tc>
      </w:tr>
    </w:tbl>
    <w:p w:rsidR="00FD5314" w:rsidRDefault="00FD5314"/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931"/>
        <w:gridCol w:w="1314"/>
        <w:gridCol w:w="2409"/>
      </w:tblGrid>
      <w:tr w:rsidR="00FD5314" w:rsidRPr="00FD5314" w:rsidTr="00FD5314">
        <w:trPr>
          <w:trHeight w:val="2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1er. Informe Trimestral de Estadísticas Generadas en Secretaría Municipal.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Mes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Nombre de la Comisión: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Reuniones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Cantidad de Actas.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ene-2023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Comisión Mesa de Trabajo.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 xml:space="preserve">Desarrollo Económico y Cohesión Social. 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 xml:space="preserve">Comisión para revisar propuesta emitida por el SITAMA al Tribunal del Servicio Civil referente a Contrato Colectivo de Trabajadores. 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534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TOTAL DE REUNIONES EN ENERO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6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feb-2023</w:t>
            </w: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Comisión Mesa de Trabajo.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Desarrollo Económico y Cohesión Social.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Estrategia Financiera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Salud y Medio Ambiente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Comisión para revisar propuesta emitida por el SITAMA al Tribunal del Servicio Civil referente a Contrato Colectivo de Trabajadores.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5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lastRenderedPageBreak/>
              <w:t>TOTAL DE REUNIONES EN FEBRERO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8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mar-2023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Comisión Mesa de Trabajo.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Bienestar Animal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Desarrollo Económico y Cohesión Social.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Salud y Medio Ambiente.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  <w:tr w:rsidR="00FD5314" w:rsidRPr="00FD5314" w:rsidTr="00FD5314">
        <w:trPr>
          <w:trHeight w:val="20"/>
          <w:jc w:val="center"/>
        </w:trPr>
        <w:tc>
          <w:tcPr>
            <w:tcW w:w="5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TOTAL DE REUNIONES EN MARZO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FD5314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D5314" w:rsidRPr="00FD5314" w:rsidRDefault="00FD5314" w:rsidP="00FD531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</w:tbl>
    <w:p w:rsidR="00FD5314" w:rsidRDefault="00FD5314"/>
    <w:sectPr w:rsidR="00FD53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C7"/>
    <w:rsid w:val="004110C7"/>
    <w:rsid w:val="00FC3CDF"/>
    <w:rsid w:val="00F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91AB22-C2D4-4654-BEEB-861E54B2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SECRETARIA-SA</dc:creator>
  <cp:keywords/>
  <dc:description/>
  <cp:lastModifiedBy>SECRETARIA-SA</cp:lastModifiedBy>
  <cp:revision>2</cp:revision>
  <dcterms:created xsi:type="dcterms:W3CDTF">2023-05-11T15:08:00Z</dcterms:created>
  <dcterms:modified xsi:type="dcterms:W3CDTF">2023-05-11T15:10:00Z</dcterms:modified>
</cp:coreProperties>
</file>