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952" w:rsidRDefault="009D6952" w:rsidP="009D6952">
      <w:pPr>
        <w:pStyle w:val="Ttulo1"/>
        <w:jc w:val="center"/>
        <w:rPr>
          <w:rFonts w:ascii="Arial" w:hAnsi="Arial" w:cs="Arial"/>
          <w:b/>
          <w:color w:val="auto"/>
          <w:sz w:val="28"/>
          <w:szCs w:val="28"/>
        </w:rPr>
      </w:pPr>
      <w:r w:rsidRPr="00325DC2">
        <w:rPr>
          <w:rFonts w:ascii="Arial" w:hAnsi="Arial" w:cs="Arial"/>
          <w:b/>
          <w:color w:val="auto"/>
          <w:sz w:val="28"/>
          <w:szCs w:val="28"/>
        </w:rPr>
        <w:t>INSTITUTO SALVADOREÑO DE BIENESTAR MAGISTERIAL.</w:t>
      </w:r>
    </w:p>
    <w:p w:rsidR="009D6952" w:rsidRDefault="009D6952" w:rsidP="009D6952">
      <w:pPr>
        <w:jc w:val="center"/>
      </w:pPr>
      <w:r>
        <w:t>INFORME DE ESPACIOS DE PARTICIPACION CIUDADANA – AÑO 2018.</w:t>
      </w:r>
    </w:p>
    <w:p w:rsidR="009D6952" w:rsidRDefault="009D6952" w:rsidP="009D6952"/>
    <w:p w:rsidR="009D6952" w:rsidRDefault="009D6952" w:rsidP="009D6952"/>
    <w:p w:rsidR="009D6952" w:rsidRPr="00E549AB" w:rsidRDefault="009D6952" w:rsidP="009D6952">
      <w:pPr>
        <w:pStyle w:val="Prrafodelista"/>
        <w:numPr>
          <w:ilvl w:val="0"/>
          <w:numId w:val="1"/>
        </w:numPr>
        <w:shd w:val="clear" w:color="auto" w:fill="FFFFFF"/>
        <w:spacing w:after="150"/>
        <w:jc w:val="both"/>
        <w:rPr>
          <w:rFonts w:ascii="Arial" w:hAnsi="Arial" w:cs="Arial"/>
          <w:b/>
          <w:color w:val="333333"/>
          <w:lang w:eastAsia="es-SV"/>
        </w:rPr>
      </w:pPr>
      <w:r w:rsidRPr="00E549AB">
        <w:rPr>
          <w:rFonts w:ascii="Arial" w:hAnsi="Arial" w:cs="Arial"/>
          <w:b/>
          <w:color w:val="333333"/>
          <w:lang w:eastAsia="es-SV"/>
        </w:rPr>
        <w:t>Despachos Abiertos.</w:t>
      </w:r>
    </w:p>
    <w:p w:rsidR="009D6952" w:rsidRDefault="009D6952" w:rsidP="009D6952">
      <w:pPr>
        <w:shd w:val="clear" w:color="auto" w:fill="FFFFFF"/>
        <w:spacing w:after="150"/>
        <w:jc w:val="both"/>
        <w:rPr>
          <w:rFonts w:ascii="Arial" w:hAnsi="Arial" w:cs="Arial"/>
          <w:b/>
          <w:color w:val="333333"/>
          <w:lang w:eastAsia="es-SV"/>
        </w:rPr>
      </w:pPr>
      <w:r w:rsidRPr="00E549AB">
        <w:rPr>
          <w:rFonts w:ascii="Arial" w:hAnsi="Arial" w:cs="Arial"/>
          <w:b/>
          <w:color w:val="333333"/>
          <w:lang w:eastAsia="es-SV"/>
        </w:rPr>
        <w:t>Reunión con representantes de Organizaciones Magisteriales.</w:t>
      </w:r>
    </w:p>
    <w:p w:rsidR="009D6952" w:rsidRPr="00E549AB" w:rsidRDefault="009D6952" w:rsidP="009D6952">
      <w:pPr>
        <w:shd w:val="clear" w:color="auto" w:fill="FFFFFF"/>
        <w:spacing w:after="150"/>
        <w:jc w:val="both"/>
        <w:rPr>
          <w:rFonts w:ascii="Arial" w:hAnsi="Arial" w:cs="Arial"/>
          <w:b/>
          <w:color w:val="333333"/>
          <w:lang w:eastAsia="es-SV"/>
        </w:rPr>
      </w:pPr>
      <w:r w:rsidRPr="00E549AB">
        <w:rPr>
          <w:rFonts w:ascii="Arial" w:hAnsi="Arial" w:cs="Arial"/>
          <w:color w:val="333333"/>
          <w:lang w:eastAsia="es-SV"/>
        </w:rPr>
        <w:t>Fecha: 21 de marzo de 2018.</w:t>
      </w:r>
    </w:p>
    <w:p w:rsidR="009D6952" w:rsidRPr="00E549AB" w:rsidRDefault="009D6952" w:rsidP="009D6952">
      <w:pPr>
        <w:shd w:val="clear" w:color="auto" w:fill="FFFFFF"/>
        <w:spacing w:after="150"/>
        <w:jc w:val="both"/>
        <w:rPr>
          <w:rFonts w:ascii="Arial" w:hAnsi="Arial" w:cs="Arial"/>
          <w:color w:val="333333"/>
          <w:lang w:eastAsia="es-SV"/>
        </w:rPr>
      </w:pPr>
      <w:r w:rsidRPr="00E549AB">
        <w:rPr>
          <w:rFonts w:ascii="Arial" w:hAnsi="Arial" w:cs="Arial"/>
          <w:b/>
          <w:color w:val="333333"/>
          <w:lang w:eastAsia="es-SV"/>
        </w:rPr>
        <w:t xml:space="preserve">Objetivo: </w:t>
      </w:r>
      <w:r w:rsidRPr="00E549AB">
        <w:rPr>
          <w:rFonts w:ascii="Arial" w:hAnsi="Arial" w:cs="Arial"/>
          <w:color w:val="333333"/>
          <w:lang w:eastAsia="es-SV"/>
        </w:rPr>
        <w:t>Informar sobre las actividades institucionales, en especial los eventos programados de la Semana de la Seguridad Social.</w:t>
      </w:r>
    </w:p>
    <w:p w:rsidR="009D6952" w:rsidRPr="00E549AB" w:rsidRDefault="009D6952" w:rsidP="009D6952">
      <w:pPr>
        <w:shd w:val="clear" w:color="auto" w:fill="FFFFFF"/>
        <w:spacing w:after="150"/>
        <w:jc w:val="both"/>
        <w:rPr>
          <w:rFonts w:ascii="Arial" w:hAnsi="Arial" w:cs="Arial"/>
          <w:color w:val="333333"/>
          <w:lang w:eastAsia="es-SV"/>
        </w:rPr>
      </w:pPr>
      <w:r w:rsidRPr="00E549AB">
        <w:rPr>
          <w:rFonts w:ascii="Arial" w:hAnsi="Arial" w:cs="Arial"/>
          <w:b/>
          <w:color w:val="333333"/>
          <w:lang w:eastAsia="es-SV"/>
        </w:rPr>
        <w:t xml:space="preserve">Participación: </w:t>
      </w:r>
      <w:r w:rsidRPr="00E549AB">
        <w:rPr>
          <w:rFonts w:ascii="Arial" w:hAnsi="Arial" w:cs="Arial"/>
          <w:color w:val="333333"/>
          <w:lang w:eastAsia="es-SV"/>
        </w:rPr>
        <w:t>A través de una reunión el Director Presidente del ISBM, da a conocer sobre los temas agendados.</w:t>
      </w:r>
    </w:p>
    <w:p w:rsidR="009D6952" w:rsidRPr="00E549AB" w:rsidRDefault="009D6952" w:rsidP="009D6952">
      <w:pPr>
        <w:shd w:val="clear" w:color="auto" w:fill="FFFFFF"/>
        <w:spacing w:after="150"/>
        <w:jc w:val="both"/>
        <w:rPr>
          <w:rFonts w:ascii="Arial" w:hAnsi="Arial" w:cs="Arial"/>
          <w:color w:val="333333"/>
          <w:lang w:eastAsia="es-SV"/>
        </w:rPr>
      </w:pPr>
      <w:r w:rsidRPr="00E549AB">
        <w:rPr>
          <w:rFonts w:ascii="Arial" w:hAnsi="Arial" w:cs="Arial"/>
          <w:b/>
          <w:color w:val="333333"/>
          <w:lang w:eastAsia="es-SV"/>
        </w:rPr>
        <w:t xml:space="preserve">Requisitos de Participación: </w:t>
      </w:r>
      <w:r w:rsidRPr="00E549AB">
        <w:rPr>
          <w:rFonts w:ascii="Arial" w:hAnsi="Arial" w:cs="Arial"/>
          <w:color w:val="333333"/>
          <w:lang w:eastAsia="es-SV"/>
        </w:rPr>
        <w:t>Ser representantes de Organizaciones Magisteriales del Ministerio de Educación.</w:t>
      </w:r>
    </w:p>
    <w:p w:rsidR="009D6952" w:rsidRPr="00E549AB" w:rsidRDefault="009D6952" w:rsidP="009D6952">
      <w:pPr>
        <w:shd w:val="clear" w:color="auto" w:fill="FFFFFF"/>
        <w:spacing w:after="150"/>
        <w:jc w:val="both"/>
        <w:rPr>
          <w:rFonts w:ascii="Arial" w:hAnsi="Arial" w:cs="Arial"/>
          <w:b/>
          <w:color w:val="333333"/>
          <w:lang w:eastAsia="es-SV"/>
        </w:rPr>
      </w:pPr>
      <w:r w:rsidRPr="00E549AB">
        <w:rPr>
          <w:rFonts w:ascii="Arial" w:hAnsi="Arial" w:cs="Arial"/>
          <w:b/>
          <w:color w:val="333333"/>
          <w:lang w:eastAsia="es-SV"/>
        </w:rPr>
        <w:t>Resultados:</w:t>
      </w:r>
    </w:p>
    <w:p w:rsidR="009D6952" w:rsidRPr="00E549AB" w:rsidRDefault="009D6952" w:rsidP="009D6952">
      <w:pPr>
        <w:shd w:val="clear" w:color="auto" w:fill="FFFFFF"/>
        <w:spacing w:after="150"/>
        <w:jc w:val="both"/>
        <w:rPr>
          <w:rFonts w:ascii="Arial" w:hAnsi="Arial" w:cs="Arial"/>
          <w:color w:val="333333"/>
          <w:lang w:eastAsia="es-SV"/>
        </w:rPr>
      </w:pPr>
      <w:r w:rsidRPr="00E549AB">
        <w:rPr>
          <w:rFonts w:ascii="Arial" w:hAnsi="Arial" w:cs="Arial"/>
          <w:color w:val="333333"/>
          <w:lang w:eastAsia="es-SV"/>
        </w:rPr>
        <w:t>Se realizaron tres foros “Semana de la Seguridad Social” en la zona occidental, central y oriental del país, en los cuales se contó con la asistencia total de 744 docentes.</w:t>
      </w:r>
    </w:p>
    <w:p w:rsidR="009D6952" w:rsidRDefault="009D6952" w:rsidP="009D6952">
      <w:pPr>
        <w:pStyle w:val="Prrafodelista"/>
        <w:shd w:val="clear" w:color="auto" w:fill="FFFFFF"/>
        <w:spacing w:after="150"/>
        <w:jc w:val="both"/>
        <w:rPr>
          <w:rFonts w:ascii="Arial" w:hAnsi="Arial" w:cs="Arial"/>
          <w:b/>
          <w:color w:val="333333"/>
          <w:lang w:eastAsia="es-SV"/>
        </w:rPr>
      </w:pPr>
    </w:p>
    <w:p w:rsidR="009D6952" w:rsidRPr="00325DC2" w:rsidRDefault="009D6952" w:rsidP="009D6952">
      <w:pPr>
        <w:pStyle w:val="Prrafodelista"/>
        <w:numPr>
          <w:ilvl w:val="0"/>
          <w:numId w:val="1"/>
        </w:numPr>
        <w:shd w:val="clear" w:color="auto" w:fill="FFFFFF"/>
        <w:spacing w:after="150"/>
        <w:jc w:val="both"/>
        <w:rPr>
          <w:rFonts w:ascii="Arial" w:hAnsi="Arial" w:cs="Arial"/>
          <w:b/>
          <w:color w:val="333333"/>
          <w:lang w:eastAsia="es-SV"/>
        </w:rPr>
      </w:pPr>
      <w:r>
        <w:rPr>
          <w:rFonts w:ascii="Arial" w:hAnsi="Arial" w:cs="Arial"/>
          <w:b/>
          <w:color w:val="333333"/>
          <w:lang w:eastAsia="es-SV"/>
        </w:rPr>
        <w:t>Redes Sociales</w:t>
      </w:r>
      <w:r w:rsidRPr="00325DC2">
        <w:rPr>
          <w:rFonts w:ascii="Arial" w:hAnsi="Arial" w:cs="Arial"/>
          <w:b/>
          <w:color w:val="333333"/>
          <w:lang w:eastAsia="es-SV"/>
        </w:rPr>
        <w:t>.</w:t>
      </w:r>
    </w:p>
    <w:p w:rsidR="009D6952" w:rsidRPr="00BB16D8" w:rsidRDefault="009D6952" w:rsidP="009D6952">
      <w:pPr>
        <w:shd w:val="clear" w:color="auto" w:fill="FFFFFF"/>
        <w:spacing w:after="150"/>
        <w:jc w:val="both"/>
        <w:rPr>
          <w:rFonts w:ascii="Arial" w:hAnsi="Arial" w:cs="Arial"/>
          <w:color w:val="333333"/>
          <w:lang w:eastAsia="es-SV"/>
        </w:rPr>
      </w:pPr>
      <w:r w:rsidRPr="006C240E">
        <w:rPr>
          <w:rFonts w:ascii="Arial" w:hAnsi="Arial" w:cs="Arial"/>
          <w:b/>
          <w:color w:val="333333"/>
          <w:lang w:eastAsia="es-SV"/>
        </w:rPr>
        <w:t>Objetivo:</w:t>
      </w:r>
      <w:r>
        <w:rPr>
          <w:rFonts w:ascii="Arial" w:hAnsi="Arial" w:cs="Arial"/>
          <w:b/>
          <w:color w:val="333333"/>
          <w:lang w:eastAsia="es-SV"/>
        </w:rPr>
        <w:t xml:space="preserve"> </w:t>
      </w:r>
      <w:r w:rsidRPr="007F16AC">
        <w:rPr>
          <w:rFonts w:ascii="Arial" w:hAnsi="Arial" w:cs="Arial"/>
          <w:color w:val="333333"/>
          <w:lang w:eastAsia="es-SV"/>
        </w:rPr>
        <w:t xml:space="preserve">Comunicar </w:t>
      </w:r>
      <w:r>
        <w:rPr>
          <w:rFonts w:ascii="Arial" w:hAnsi="Arial" w:cs="Arial"/>
          <w:color w:val="333333"/>
          <w:lang w:eastAsia="es-SV"/>
        </w:rPr>
        <w:t>el quehacer institucional a través de las redes sociales como Facebook, Twitter y YouTube. Asimismo, se utilizaron como un e</w:t>
      </w:r>
      <w:r w:rsidRPr="007F16AC">
        <w:rPr>
          <w:rFonts w:ascii="Arial" w:hAnsi="Arial" w:cs="Arial"/>
          <w:color w:val="333333"/>
          <w:lang w:eastAsia="es-SV"/>
        </w:rPr>
        <w:t>spacio de</w:t>
      </w:r>
      <w:r>
        <w:rPr>
          <w:rFonts w:ascii="Arial" w:hAnsi="Arial" w:cs="Arial"/>
          <w:b/>
          <w:color w:val="333333"/>
          <w:lang w:eastAsia="es-SV"/>
        </w:rPr>
        <w:t xml:space="preserve"> </w:t>
      </w:r>
      <w:r w:rsidRPr="007F16AC">
        <w:rPr>
          <w:rFonts w:ascii="Arial" w:hAnsi="Arial" w:cs="Arial"/>
          <w:color w:val="333333"/>
          <w:lang w:eastAsia="es-SV"/>
        </w:rPr>
        <w:t>comunicación abierta</w:t>
      </w:r>
      <w:r>
        <w:rPr>
          <w:rFonts w:ascii="Arial" w:hAnsi="Arial" w:cs="Arial"/>
          <w:color w:val="333333"/>
          <w:lang w:eastAsia="es-SV"/>
        </w:rPr>
        <w:t xml:space="preserve"> para que los usuarios del Programa Especial de Salud del ISBM y la población en general interactúen con la institución, realicen sus consultas, dudas, sugerencias, quejas, avisos, reclamos o felicitaciones.</w:t>
      </w:r>
    </w:p>
    <w:p w:rsidR="009D6952" w:rsidRPr="00B700F3" w:rsidRDefault="009D6952" w:rsidP="009D6952">
      <w:pPr>
        <w:shd w:val="clear" w:color="auto" w:fill="FFFFFF"/>
        <w:spacing w:after="150"/>
        <w:jc w:val="both"/>
        <w:rPr>
          <w:rFonts w:ascii="Arial" w:hAnsi="Arial" w:cs="Arial"/>
          <w:color w:val="333333"/>
          <w:lang w:eastAsia="es-SV"/>
        </w:rPr>
      </w:pPr>
      <w:r w:rsidRPr="006C240E">
        <w:rPr>
          <w:rFonts w:ascii="Arial" w:hAnsi="Arial" w:cs="Arial"/>
          <w:b/>
          <w:color w:val="333333"/>
          <w:lang w:eastAsia="es-SV"/>
        </w:rPr>
        <w:t>Participación:</w:t>
      </w:r>
      <w:r>
        <w:rPr>
          <w:rFonts w:ascii="Arial" w:hAnsi="Arial" w:cs="Arial"/>
          <w:b/>
          <w:color w:val="333333"/>
          <w:lang w:eastAsia="es-SV"/>
        </w:rPr>
        <w:t xml:space="preserve"> </w:t>
      </w:r>
      <w:r>
        <w:rPr>
          <w:rFonts w:ascii="Arial" w:hAnsi="Arial" w:cs="Arial"/>
          <w:color w:val="333333"/>
          <w:lang w:eastAsia="es-SV"/>
        </w:rPr>
        <w:t>Población en general.</w:t>
      </w:r>
    </w:p>
    <w:p w:rsidR="009D6952" w:rsidRPr="00B700F3" w:rsidRDefault="009D6952" w:rsidP="009D6952">
      <w:pPr>
        <w:shd w:val="clear" w:color="auto" w:fill="FFFFFF"/>
        <w:spacing w:after="150"/>
        <w:jc w:val="both"/>
        <w:rPr>
          <w:rFonts w:ascii="Arial" w:hAnsi="Arial" w:cs="Arial"/>
          <w:color w:val="333333"/>
          <w:lang w:eastAsia="es-SV"/>
        </w:rPr>
      </w:pPr>
      <w:r w:rsidRPr="006C240E">
        <w:rPr>
          <w:rFonts w:ascii="Arial" w:hAnsi="Arial" w:cs="Arial"/>
          <w:b/>
          <w:color w:val="333333"/>
          <w:lang w:eastAsia="es-SV"/>
        </w:rPr>
        <w:t>Requisitos de Participación:</w:t>
      </w:r>
      <w:r>
        <w:rPr>
          <w:rFonts w:ascii="Arial" w:hAnsi="Arial" w:cs="Arial"/>
          <w:b/>
          <w:color w:val="333333"/>
          <w:lang w:eastAsia="es-SV"/>
        </w:rPr>
        <w:t xml:space="preserve"> </w:t>
      </w:r>
      <w:r w:rsidRPr="00B700F3">
        <w:rPr>
          <w:rFonts w:ascii="Arial" w:hAnsi="Arial" w:cs="Arial"/>
          <w:color w:val="333333"/>
          <w:lang w:eastAsia="es-SV"/>
        </w:rPr>
        <w:t>N/A</w:t>
      </w:r>
      <w:r>
        <w:rPr>
          <w:rFonts w:ascii="Arial" w:hAnsi="Arial" w:cs="Arial"/>
          <w:color w:val="333333"/>
          <w:lang w:eastAsia="es-SV"/>
        </w:rPr>
        <w:t>.</w:t>
      </w:r>
    </w:p>
    <w:p w:rsidR="009D6952" w:rsidRDefault="009D6952" w:rsidP="009D6952">
      <w:pPr>
        <w:shd w:val="clear" w:color="auto" w:fill="FFFFFF"/>
        <w:spacing w:after="150"/>
        <w:jc w:val="both"/>
        <w:rPr>
          <w:rFonts w:ascii="Arial" w:hAnsi="Arial" w:cs="Arial"/>
          <w:b/>
          <w:color w:val="333333"/>
          <w:lang w:eastAsia="es-SV"/>
        </w:rPr>
      </w:pPr>
      <w:r w:rsidRPr="006C240E">
        <w:rPr>
          <w:rFonts w:ascii="Arial" w:hAnsi="Arial" w:cs="Arial"/>
          <w:b/>
          <w:color w:val="333333"/>
          <w:lang w:eastAsia="es-SV"/>
        </w:rPr>
        <w:t>Resultados:</w:t>
      </w:r>
      <w:r>
        <w:rPr>
          <w:rFonts w:ascii="Arial" w:hAnsi="Arial" w:cs="Arial"/>
          <w:b/>
          <w:color w:val="333333"/>
          <w:lang w:eastAsia="es-SV"/>
        </w:rPr>
        <w:t xml:space="preserve"> </w:t>
      </w:r>
    </w:p>
    <w:p w:rsidR="009D6952"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 xml:space="preserve">La implementación de este espacio, ha permitido acceder a la opinión de las personas, identificar necesidades de los usuarios y comunicar las novedades y el trabajo institucional. </w:t>
      </w:r>
    </w:p>
    <w:p w:rsidR="009D6952"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 xml:space="preserve">Durante el año 2018 se realizaron 19 publicaciones de artículos en la Página Web, 270 publicaciones en Facebook, 2,633 publicaciones en Twitter, el total de interacciones con ciudadanos en las redes sociales fue de 487 casos, entre consultas, quejas, reclamos, sugerencias, entre otras, mediante Facebook y Twitter, de las cuales se brindó respuesta a 455, lo que equivale a un 93% de los casos ingresados. Se publicaron 43 videos en YouTube. Se realizaron 17 publicaciones en medios rotativos nacionales. </w:t>
      </w:r>
    </w:p>
    <w:p w:rsidR="009D6952" w:rsidRDefault="009D6952" w:rsidP="009D6952">
      <w:pPr>
        <w:shd w:val="clear" w:color="auto" w:fill="FFFFFF"/>
        <w:spacing w:after="150"/>
        <w:jc w:val="both"/>
        <w:rPr>
          <w:rFonts w:ascii="Arial" w:hAnsi="Arial" w:cs="Arial"/>
          <w:color w:val="333333"/>
          <w:lang w:eastAsia="es-SV"/>
        </w:rPr>
      </w:pPr>
    </w:p>
    <w:p w:rsidR="009D6952" w:rsidRPr="0089654A" w:rsidRDefault="009D6952" w:rsidP="009D6952">
      <w:pPr>
        <w:pStyle w:val="Prrafodelista"/>
        <w:numPr>
          <w:ilvl w:val="0"/>
          <w:numId w:val="1"/>
        </w:numPr>
        <w:shd w:val="clear" w:color="auto" w:fill="FFFFFF"/>
        <w:spacing w:after="150"/>
        <w:jc w:val="both"/>
        <w:rPr>
          <w:rFonts w:ascii="Arial" w:hAnsi="Arial" w:cs="Arial"/>
          <w:b/>
          <w:color w:val="333333"/>
          <w:lang w:eastAsia="es-SV"/>
        </w:rPr>
      </w:pPr>
      <w:r w:rsidRPr="0089654A">
        <w:rPr>
          <w:rFonts w:ascii="Arial" w:hAnsi="Arial" w:cs="Arial"/>
          <w:b/>
          <w:color w:val="333333"/>
          <w:lang w:eastAsia="es-SV"/>
        </w:rPr>
        <w:t>Rendiciones de cuentas</w:t>
      </w:r>
      <w:r>
        <w:rPr>
          <w:rFonts w:ascii="Arial" w:hAnsi="Arial" w:cs="Arial"/>
          <w:b/>
          <w:color w:val="333333"/>
          <w:lang w:eastAsia="es-SV"/>
        </w:rPr>
        <w:t>. (perí</w:t>
      </w:r>
      <w:r w:rsidRPr="0089654A">
        <w:rPr>
          <w:rFonts w:ascii="Arial" w:hAnsi="Arial" w:cs="Arial"/>
          <w:b/>
          <w:color w:val="333333"/>
          <w:lang w:eastAsia="es-SV"/>
        </w:rPr>
        <w:t>odo junio 2017 - mayo 2018</w:t>
      </w:r>
      <w:r>
        <w:rPr>
          <w:rFonts w:ascii="Arial" w:hAnsi="Arial" w:cs="Arial"/>
          <w:b/>
          <w:color w:val="333333"/>
          <w:lang w:eastAsia="es-SV"/>
        </w:rPr>
        <w:t>)</w:t>
      </w:r>
    </w:p>
    <w:p w:rsidR="009D6952" w:rsidRDefault="009D6952" w:rsidP="009D6952">
      <w:pPr>
        <w:shd w:val="clear" w:color="auto" w:fill="FFFFFF"/>
        <w:spacing w:after="150"/>
        <w:jc w:val="both"/>
        <w:rPr>
          <w:rFonts w:ascii="Arial" w:hAnsi="Arial" w:cs="Arial"/>
          <w:color w:val="333333"/>
          <w:lang w:eastAsia="es-SV"/>
        </w:rPr>
      </w:pPr>
      <w:r w:rsidRPr="00AF529B">
        <w:rPr>
          <w:rFonts w:ascii="Arial" w:hAnsi="Arial" w:cs="Arial"/>
          <w:b/>
          <w:color w:val="333333"/>
          <w:lang w:eastAsia="es-SV"/>
        </w:rPr>
        <w:t>Objetivo:</w:t>
      </w:r>
      <w:r w:rsidRPr="00EF6924">
        <w:rPr>
          <w:rFonts w:ascii="Arial" w:hAnsi="Arial" w:cs="Arial"/>
          <w:color w:val="333333"/>
          <w:lang w:eastAsia="es-SV"/>
        </w:rPr>
        <w:t xml:space="preserve"> Presentar a la población usuaria </w:t>
      </w:r>
      <w:r>
        <w:rPr>
          <w:rFonts w:ascii="Arial" w:hAnsi="Arial" w:cs="Arial"/>
          <w:color w:val="333333"/>
          <w:lang w:eastAsia="es-SV"/>
        </w:rPr>
        <w:t xml:space="preserve">un informe </w:t>
      </w:r>
      <w:r w:rsidRPr="00EF6924">
        <w:rPr>
          <w:rFonts w:ascii="Arial" w:hAnsi="Arial" w:cs="Arial"/>
          <w:color w:val="333333"/>
          <w:lang w:eastAsia="es-SV"/>
        </w:rPr>
        <w:t xml:space="preserve">de los servicios de salud del ISBM, </w:t>
      </w:r>
      <w:r>
        <w:rPr>
          <w:rFonts w:ascii="Arial" w:hAnsi="Arial" w:cs="Arial"/>
          <w:color w:val="333333"/>
          <w:lang w:eastAsia="es-SV"/>
        </w:rPr>
        <w:t>resultados del trabajo institucional</w:t>
      </w:r>
      <w:r w:rsidRPr="00EF6924">
        <w:rPr>
          <w:rFonts w:ascii="Arial" w:hAnsi="Arial" w:cs="Arial"/>
          <w:color w:val="333333"/>
          <w:lang w:eastAsia="es-SV"/>
        </w:rPr>
        <w:t>, así como las proyecciones</w:t>
      </w:r>
      <w:r>
        <w:rPr>
          <w:rFonts w:ascii="Arial" w:hAnsi="Arial" w:cs="Arial"/>
          <w:color w:val="333333"/>
          <w:lang w:eastAsia="es-SV"/>
        </w:rPr>
        <w:t xml:space="preserve"> en cuanto a la mejora del Programa Especial de Salud del ISBM.</w:t>
      </w:r>
    </w:p>
    <w:p w:rsidR="009D6952" w:rsidRDefault="009D6952" w:rsidP="009D6952">
      <w:pPr>
        <w:shd w:val="clear" w:color="auto" w:fill="FFFFFF"/>
        <w:spacing w:after="150"/>
        <w:jc w:val="both"/>
        <w:rPr>
          <w:rFonts w:ascii="Arial" w:hAnsi="Arial" w:cs="Arial"/>
          <w:b/>
          <w:color w:val="333333"/>
          <w:lang w:eastAsia="es-SV"/>
        </w:rPr>
      </w:pPr>
      <w:r w:rsidRPr="006C240E">
        <w:rPr>
          <w:rFonts w:ascii="Arial" w:hAnsi="Arial" w:cs="Arial"/>
          <w:b/>
          <w:color w:val="333333"/>
          <w:lang w:eastAsia="es-SV"/>
        </w:rPr>
        <w:t>Participación:</w:t>
      </w:r>
      <w:r>
        <w:rPr>
          <w:rFonts w:ascii="Arial" w:hAnsi="Arial" w:cs="Arial"/>
          <w:b/>
          <w:color w:val="333333"/>
          <w:lang w:eastAsia="es-SV"/>
        </w:rPr>
        <w:t xml:space="preserve"> </w:t>
      </w:r>
      <w:r>
        <w:rPr>
          <w:rFonts w:ascii="Arial" w:hAnsi="Arial" w:cs="Arial"/>
          <w:color w:val="333333"/>
          <w:lang w:eastAsia="es-SV"/>
        </w:rPr>
        <w:t>U</w:t>
      </w:r>
      <w:r w:rsidRPr="00AF529B">
        <w:rPr>
          <w:rFonts w:ascii="Arial" w:hAnsi="Arial" w:cs="Arial"/>
          <w:color w:val="333333"/>
          <w:lang w:eastAsia="es-SV"/>
        </w:rPr>
        <w:t>suarios y población en general.</w:t>
      </w:r>
    </w:p>
    <w:p w:rsidR="009D6952" w:rsidRPr="00AF529B" w:rsidRDefault="009D6952" w:rsidP="009D6952">
      <w:pPr>
        <w:shd w:val="clear" w:color="auto" w:fill="FFFFFF"/>
        <w:spacing w:after="150"/>
        <w:jc w:val="both"/>
        <w:rPr>
          <w:rFonts w:ascii="Arial" w:hAnsi="Arial" w:cs="Arial"/>
          <w:color w:val="333333"/>
          <w:lang w:eastAsia="es-SV"/>
        </w:rPr>
      </w:pPr>
      <w:r w:rsidRPr="006C240E">
        <w:rPr>
          <w:rFonts w:ascii="Arial" w:hAnsi="Arial" w:cs="Arial"/>
          <w:b/>
          <w:color w:val="333333"/>
          <w:lang w:eastAsia="es-SV"/>
        </w:rPr>
        <w:t>Requisitos de Participación:</w:t>
      </w:r>
      <w:r>
        <w:rPr>
          <w:rFonts w:ascii="Arial" w:hAnsi="Arial" w:cs="Arial"/>
          <w:b/>
          <w:color w:val="333333"/>
          <w:lang w:eastAsia="es-SV"/>
        </w:rPr>
        <w:t xml:space="preserve"> </w:t>
      </w:r>
      <w:r w:rsidRPr="00AF529B">
        <w:rPr>
          <w:rFonts w:ascii="Arial" w:hAnsi="Arial" w:cs="Arial"/>
          <w:color w:val="333333"/>
          <w:lang w:eastAsia="es-SV"/>
        </w:rPr>
        <w:t>N/A</w:t>
      </w:r>
    </w:p>
    <w:p w:rsidR="009D6952" w:rsidRDefault="009D6952" w:rsidP="009D6952">
      <w:pPr>
        <w:shd w:val="clear" w:color="auto" w:fill="FFFFFF"/>
        <w:spacing w:after="150"/>
        <w:jc w:val="both"/>
        <w:rPr>
          <w:rFonts w:ascii="Arial" w:hAnsi="Arial" w:cs="Arial"/>
          <w:b/>
          <w:color w:val="333333"/>
          <w:lang w:eastAsia="es-SV"/>
        </w:rPr>
      </w:pPr>
      <w:r w:rsidRPr="006C240E">
        <w:rPr>
          <w:rFonts w:ascii="Arial" w:hAnsi="Arial" w:cs="Arial"/>
          <w:b/>
          <w:color w:val="333333"/>
          <w:lang w:eastAsia="es-SV"/>
        </w:rPr>
        <w:t>Resultados:</w:t>
      </w:r>
      <w:r>
        <w:rPr>
          <w:rFonts w:ascii="Arial" w:hAnsi="Arial" w:cs="Arial"/>
          <w:b/>
          <w:color w:val="333333"/>
          <w:lang w:eastAsia="es-SV"/>
        </w:rPr>
        <w:t xml:space="preserve"> </w:t>
      </w:r>
    </w:p>
    <w:p w:rsidR="009D6952"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Como resultado del proceso de rendición de cuentas para el periodo de junio 2017 a mayo 2018, tenemos los siguientes:</w:t>
      </w:r>
    </w:p>
    <w:p w:rsidR="009D6952"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Cantidad de Jornadas realizadas: 6 jornadas realizadas en las zonas regionales del país.</w:t>
      </w:r>
    </w:p>
    <w:p w:rsidR="009D6952" w:rsidRPr="00AF529B"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Asistencia total de 1,622 personas, según el siguiente detalle:</w:t>
      </w:r>
    </w:p>
    <w:tbl>
      <w:tblPr>
        <w:tblW w:w="8700" w:type="dxa"/>
        <w:tblInd w:w="-10" w:type="dxa"/>
        <w:tblCellMar>
          <w:left w:w="70" w:type="dxa"/>
          <w:right w:w="70" w:type="dxa"/>
        </w:tblCellMar>
        <w:tblLook w:val="04A0" w:firstRow="1" w:lastRow="0" w:firstColumn="1" w:lastColumn="0" w:noHBand="0" w:noVBand="1"/>
      </w:tblPr>
      <w:tblGrid>
        <w:gridCol w:w="1840"/>
        <w:gridCol w:w="1200"/>
        <w:gridCol w:w="2400"/>
        <w:gridCol w:w="1900"/>
        <w:gridCol w:w="1360"/>
      </w:tblGrid>
      <w:tr w:rsidR="009D6952" w:rsidRPr="00D657AA" w:rsidTr="00F238C6">
        <w:trPr>
          <w:trHeight w:val="585"/>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 xml:space="preserve">Detalle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Cantidad</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Fecha</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 xml:space="preserve">Tema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Número de personas</w:t>
            </w:r>
          </w:p>
        </w:tc>
      </w:tr>
      <w:tr w:rsidR="009D6952" w:rsidRPr="00D657AA" w:rsidTr="00F238C6">
        <w:trPr>
          <w:trHeight w:val="300"/>
        </w:trPr>
        <w:tc>
          <w:tcPr>
            <w:tcW w:w="1840" w:type="dxa"/>
            <w:tcBorders>
              <w:top w:val="nil"/>
              <w:left w:val="single" w:sz="8" w:space="0" w:color="auto"/>
              <w:bottom w:val="nil"/>
              <w:right w:val="single" w:sz="8" w:space="0" w:color="auto"/>
            </w:tcBorders>
            <w:shd w:val="clear" w:color="auto" w:fill="auto"/>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Zona Central</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1 Audiencia</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20 de julio de 2018</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Rendición de Cuentas</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Pr>
                <w:rFonts w:asciiTheme="minorHAnsi" w:eastAsia="Times New Roman" w:hAnsiTheme="minorHAnsi" w:cstheme="minorHAnsi"/>
                <w:color w:val="333333"/>
                <w:sz w:val="20"/>
                <w:lang w:val="es-ES" w:eastAsia="es-ES"/>
              </w:rPr>
              <w:t>343</w:t>
            </w:r>
          </w:p>
        </w:tc>
      </w:tr>
      <w:tr w:rsidR="009D6952" w:rsidRPr="00D657AA" w:rsidTr="00F238C6">
        <w:trPr>
          <w:trHeight w:val="58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Departamento de San Salvador</w:t>
            </w:r>
          </w:p>
        </w:tc>
        <w:tc>
          <w:tcPr>
            <w:tcW w:w="12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24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19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136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r>
      <w:tr w:rsidR="009D6952" w:rsidRPr="00D657AA" w:rsidTr="00F238C6">
        <w:trPr>
          <w:trHeight w:val="570"/>
        </w:trPr>
        <w:tc>
          <w:tcPr>
            <w:tcW w:w="1840" w:type="dxa"/>
            <w:tcBorders>
              <w:top w:val="nil"/>
              <w:left w:val="single" w:sz="8" w:space="0" w:color="auto"/>
              <w:bottom w:val="nil"/>
              <w:right w:val="single" w:sz="8" w:space="0" w:color="auto"/>
            </w:tcBorders>
            <w:shd w:val="clear" w:color="auto" w:fill="auto"/>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Zona Paracentral (1)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1 Audiencia</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23 de julio de 2018</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Rendición de Cuentas</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Pr>
                <w:rFonts w:asciiTheme="minorHAnsi" w:eastAsia="Times New Roman" w:hAnsiTheme="minorHAnsi" w:cstheme="minorHAnsi"/>
                <w:color w:val="333333"/>
                <w:sz w:val="20"/>
                <w:lang w:eastAsia="es-SV"/>
              </w:rPr>
              <w:t>192</w:t>
            </w:r>
          </w:p>
        </w:tc>
      </w:tr>
      <w:tr w:rsidR="009D6952" w:rsidRPr="00D657AA" w:rsidTr="00F238C6">
        <w:trPr>
          <w:trHeight w:val="58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Departamento de San Vicente</w:t>
            </w:r>
          </w:p>
        </w:tc>
        <w:tc>
          <w:tcPr>
            <w:tcW w:w="12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24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19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136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r>
      <w:tr w:rsidR="009D6952" w:rsidRPr="00D657AA" w:rsidTr="00F238C6">
        <w:trPr>
          <w:trHeight w:val="585"/>
        </w:trPr>
        <w:tc>
          <w:tcPr>
            <w:tcW w:w="1840" w:type="dxa"/>
            <w:tcBorders>
              <w:top w:val="nil"/>
              <w:left w:val="single" w:sz="8" w:space="0" w:color="auto"/>
              <w:bottom w:val="nil"/>
              <w:right w:val="single" w:sz="8" w:space="0" w:color="auto"/>
            </w:tcBorders>
            <w:shd w:val="clear" w:color="auto" w:fill="auto"/>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Zona Paracentral (2)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1 Audiencia</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25 de julio de 2018</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Rendición de Cuentas</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Pr>
                <w:rFonts w:asciiTheme="minorHAnsi" w:eastAsia="Times New Roman" w:hAnsiTheme="minorHAnsi" w:cstheme="minorHAnsi"/>
                <w:color w:val="333333"/>
                <w:sz w:val="20"/>
                <w:lang w:val="es-ES" w:eastAsia="es-ES"/>
              </w:rPr>
              <w:t>227</w:t>
            </w:r>
          </w:p>
        </w:tc>
      </w:tr>
      <w:tr w:rsidR="009D6952" w:rsidRPr="00D657AA" w:rsidTr="00F238C6">
        <w:trPr>
          <w:trHeight w:val="585"/>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val="es-ES" w:eastAsia="es-ES"/>
              </w:rPr>
              <w:t>Departamento de Cuscatlán</w:t>
            </w:r>
          </w:p>
        </w:tc>
        <w:tc>
          <w:tcPr>
            <w:tcW w:w="12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24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190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c>
          <w:tcPr>
            <w:tcW w:w="1360" w:type="dxa"/>
            <w:vMerge/>
            <w:tcBorders>
              <w:top w:val="nil"/>
              <w:left w:val="single" w:sz="8" w:space="0" w:color="auto"/>
              <w:bottom w:val="single" w:sz="8" w:space="0" w:color="000000"/>
              <w:right w:val="single" w:sz="8" w:space="0" w:color="auto"/>
            </w:tcBorders>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p>
        </w:tc>
      </w:tr>
      <w:tr w:rsidR="009D6952" w:rsidRPr="00D657AA" w:rsidTr="00F238C6">
        <w:trPr>
          <w:trHeight w:val="870"/>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Zona Oriental (1)/ departamento de San Miguel</w:t>
            </w:r>
          </w:p>
        </w:tc>
        <w:tc>
          <w:tcPr>
            <w:tcW w:w="120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1 Audiencia</w:t>
            </w:r>
          </w:p>
        </w:tc>
        <w:tc>
          <w:tcPr>
            <w:tcW w:w="240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26 de julio de 2018</w:t>
            </w:r>
          </w:p>
        </w:tc>
        <w:tc>
          <w:tcPr>
            <w:tcW w:w="190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Rendición de Cuentas</w:t>
            </w:r>
          </w:p>
        </w:tc>
        <w:tc>
          <w:tcPr>
            <w:tcW w:w="136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Pr>
                <w:rFonts w:asciiTheme="minorHAnsi" w:eastAsia="Times New Roman" w:hAnsiTheme="minorHAnsi" w:cstheme="minorHAnsi"/>
                <w:color w:val="333333"/>
                <w:sz w:val="20"/>
                <w:lang w:eastAsia="es-SV"/>
              </w:rPr>
              <w:t>413</w:t>
            </w:r>
          </w:p>
        </w:tc>
      </w:tr>
      <w:tr w:rsidR="009D6952" w:rsidRPr="00D657AA" w:rsidTr="00F238C6">
        <w:trPr>
          <w:trHeight w:val="870"/>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Zona Oriental (2)/ departamento de Usulután</w:t>
            </w:r>
          </w:p>
        </w:tc>
        <w:tc>
          <w:tcPr>
            <w:tcW w:w="120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1 Audiencia</w:t>
            </w:r>
          </w:p>
        </w:tc>
        <w:tc>
          <w:tcPr>
            <w:tcW w:w="240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27 de julio de 2018</w:t>
            </w:r>
          </w:p>
        </w:tc>
        <w:tc>
          <w:tcPr>
            <w:tcW w:w="1900" w:type="dxa"/>
            <w:tcBorders>
              <w:top w:val="nil"/>
              <w:left w:val="nil"/>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Rendición de Cuentas</w:t>
            </w:r>
          </w:p>
        </w:tc>
        <w:tc>
          <w:tcPr>
            <w:tcW w:w="1360" w:type="dxa"/>
            <w:tcBorders>
              <w:top w:val="nil"/>
              <w:left w:val="nil"/>
              <w:bottom w:val="nil"/>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Pr>
                <w:rFonts w:asciiTheme="minorHAnsi" w:eastAsia="Times New Roman" w:hAnsiTheme="minorHAnsi" w:cstheme="minorHAnsi"/>
                <w:color w:val="333333"/>
                <w:sz w:val="20"/>
                <w:lang w:val="es-ES" w:eastAsia="es-ES"/>
              </w:rPr>
              <w:t>200</w:t>
            </w:r>
          </w:p>
        </w:tc>
      </w:tr>
      <w:tr w:rsidR="009D6952" w:rsidRPr="00D657AA" w:rsidTr="00F238C6">
        <w:trPr>
          <w:trHeight w:val="300"/>
        </w:trPr>
        <w:tc>
          <w:tcPr>
            <w:tcW w:w="1840" w:type="dxa"/>
            <w:tcBorders>
              <w:top w:val="nil"/>
              <w:left w:val="single" w:sz="8" w:space="0" w:color="auto"/>
              <w:bottom w:val="nil"/>
              <w:right w:val="single" w:sz="8" w:space="0" w:color="auto"/>
            </w:tcBorders>
            <w:shd w:val="clear" w:color="auto" w:fill="auto"/>
            <w:vAlign w:val="center"/>
            <w:hideMark/>
          </w:tcPr>
          <w:p w:rsidR="009D6952" w:rsidRPr="00016B93" w:rsidRDefault="009D6952" w:rsidP="00F238C6">
            <w:pP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Zona Occidental</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1 Audiencia</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30 de julio de 2018</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eastAsia="es-SV"/>
              </w:rPr>
              <w:t>Rendición de Cuentas</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sz w:val="20"/>
                <w:lang w:val="es-ES" w:eastAsia="es-ES"/>
              </w:rPr>
            </w:pPr>
            <w:r w:rsidRPr="00016B93">
              <w:rPr>
                <w:rFonts w:asciiTheme="minorHAnsi" w:eastAsia="Times New Roman" w:hAnsiTheme="minorHAnsi" w:cstheme="minorHAnsi"/>
                <w:color w:val="333333"/>
                <w:sz w:val="20"/>
                <w:lang w:val="es-ES" w:eastAsia="es-ES"/>
              </w:rPr>
              <w:t>247</w:t>
            </w:r>
          </w:p>
        </w:tc>
      </w:tr>
      <w:tr w:rsidR="009D6952" w:rsidRPr="00D657AA" w:rsidTr="00F238C6">
        <w:trPr>
          <w:trHeight w:val="585"/>
        </w:trPr>
        <w:tc>
          <w:tcPr>
            <w:tcW w:w="1840" w:type="dxa"/>
            <w:tcBorders>
              <w:top w:val="nil"/>
              <w:left w:val="single" w:sz="8" w:space="0" w:color="auto"/>
              <w:bottom w:val="single" w:sz="8" w:space="0" w:color="auto"/>
              <w:right w:val="single" w:sz="8" w:space="0" w:color="auto"/>
            </w:tcBorders>
            <w:shd w:val="clear" w:color="auto" w:fill="auto"/>
            <w:vAlign w:val="center"/>
            <w:hideMark/>
          </w:tcPr>
          <w:p w:rsidR="009D6952" w:rsidRPr="00016B93" w:rsidRDefault="009D6952" w:rsidP="00F238C6">
            <w:pPr>
              <w:jc w:val="center"/>
              <w:rPr>
                <w:rFonts w:asciiTheme="minorHAnsi" w:eastAsia="Times New Roman" w:hAnsiTheme="minorHAnsi" w:cstheme="minorHAnsi"/>
                <w:color w:val="333333"/>
                <w:lang w:val="es-ES" w:eastAsia="es-ES"/>
              </w:rPr>
            </w:pPr>
            <w:r w:rsidRPr="00016B93">
              <w:rPr>
                <w:rFonts w:asciiTheme="minorHAnsi" w:eastAsia="Times New Roman" w:hAnsiTheme="minorHAnsi" w:cstheme="minorHAnsi"/>
                <w:color w:val="333333"/>
                <w:sz w:val="20"/>
                <w:lang w:eastAsia="es-SV"/>
              </w:rPr>
              <w:t>Departamento de Sonsonate</w:t>
            </w:r>
          </w:p>
        </w:tc>
        <w:tc>
          <w:tcPr>
            <w:tcW w:w="1200" w:type="dxa"/>
            <w:vMerge/>
            <w:tcBorders>
              <w:top w:val="nil"/>
              <w:left w:val="single" w:sz="8" w:space="0" w:color="auto"/>
              <w:bottom w:val="single" w:sz="8" w:space="0" w:color="000000"/>
              <w:right w:val="single" w:sz="8" w:space="0" w:color="auto"/>
            </w:tcBorders>
            <w:vAlign w:val="center"/>
            <w:hideMark/>
          </w:tcPr>
          <w:p w:rsidR="009D6952" w:rsidRPr="00D657AA" w:rsidRDefault="009D6952" w:rsidP="00F238C6">
            <w:pPr>
              <w:rPr>
                <w:rFonts w:ascii="Arial" w:eastAsia="Times New Roman" w:hAnsi="Arial" w:cs="Arial"/>
                <w:color w:val="333333"/>
                <w:lang w:val="es-ES" w:eastAsia="es-ES"/>
              </w:rPr>
            </w:pPr>
          </w:p>
        </w:tc>
        <w:tc>
          <w:tcPr>
            <w:tcW w:w="2400" w:type="dxa"/>
            <w:vMerge/>
            <w:tcBorders>
              <w:top w:val="nil"/>
              <w:left w:val="single" w:sz="8" w:space="0" w:color="auto"/>
              <w:bottom w:val="single" w:sz="8" w:space="0" w:color="000000"/>
              <w:right w:val="single" w:sz="8" w:space="0" w:color="auto"/>
            </w:tcBorders>
            <w:vAlign w:val="center"/>
            <w:hideMark/>
          </w:tcPr>
          <w:p w:rsidR="009D6952" w:rsidRPr="00D657AA" w:rsidRDefault="009D6952" w:rsidP="00F238C6">
            <w:pPr>
              <w:rPr>
                <w:rFonts w:ascii="Arial" w:eastAsia="Times New Roman" w:hAnsi="Arial" w:cs="Arial"/>
                <w:color w:val="333333"/>
                <w:lang w:val="es-ES" w:eastAsia="es-ES"/>
              </w:rPr>
            </w:pPr>
          </w:p>
        </w:tc>
        <w:tc>
          <w:tcPr>
            <w:tcW w:w="1900" w:type="dxa"/>
            <w:vMerge/>
            <w:tcBorders>
              <w:top w:val="nil"/>
              <w:left w:val="single" w:sz="8" w:space="0" w:color="auto"/>
              <w:bottom w:val="single" w:sz="8" w:space="0" w:color="000000"/>
              <w:right w:val="single" w:sz="8" w:space="0" w:color="auto"/>
            </w:tcBorders>
            <w:vAlign w:val="center"/>
            <w:hideMark/>
          </w:tcPr>
          <w:p w:rsidR="009D6952" w:rsidRPr="00D657AA" w:rsidRDefault="009D6952" w:rsidP="00F238C6">
            <w:pPr>
              <w:rPr>
                <w:rFonts w:ascii="Arial" w:eastAsia="Times New Roman" w:hAnsi="Arial" w:cs="Arial"/>
                <w:color w:val="333333"/>
                <w:lang w:val="es-ES" w:eastAsia="es-ES"/>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9D6952" w:rsidRPr="00D657AA" w:rsidRDefault="009D6952" w:rsidP="00F238C6">
            <w:pPr>
              <w:rPr>
                <w:rFonts w:ascii="Arial" w:eastAsia="Times New Roman" w:hAnsi="Arial" w:cs="Arial"/>
                <w:color w:val="333333"/>
                <w:lang w:val="es-ES" w:eastAsia="es-ES"/>
              </w:rPr>
            </w:pPr>
          </w:p>
        </w:tc>
      </w:tr>
    </w:tbl>
    <w:p w:rsidR="009D6952" w:rsidRDefault="009D6952" w:rsidP="009D6952">
      <w:pPr>
        <w:shd w:val="clear" w:color="auto" w:fill="FFFFFF"/>
        <w:spacing w:after="150"/>
        <w:jc w:val="both"/>
        <w:rPr>
          <w:rFonts w:ascii="Arial" w:hAnsi="Arial" w:cs="Arial"/>
          <w:color w:val="333333"/>
          <w:lang w:eastAsia="es-SV"/>
        </w:rPr>
      </w:pPr>
    </w:p>
    <w:p w:rsidR="009D6952"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Los asistentes calificaron en desempeño del ISBM y como resultado de la evaluación se obtuvo que el 94% calificó como excelente y suficiente, mientras que el 6% como deficiente, según gráfica siguiente:</w:t>
      </w:r>
    </w:p>
    <w:p w:rsidR="009D6952" w:rsidRDefault="009D6952" w:rsidP="009D6952">
      <w:pPr>
        <w:shd w:val="clear" w:color="auto" w:fill="FFFFFF"/>
        <w:spacing w:after="150"/>
        <w:jc w:val="both"/>
        <w:rPr>
          <w:rFonts w:ascii="Arial" w:hAnsi="Arial" w:cs="Arial"/>
          <w:color w:val="333333"/>
          <w:lang w:eastAsia="es-SV"/>
        </w:rPr>
      </w:pPr>
    </w:p>
    <w:p w:rsidR="009D6952" w:rsidRDefault="009D6952" w:rsidP="009D6952">
      <w:pPr>
        <w:shd w:val="clear" w:color="auto" w:fill="FFFFFF"/>
        <w:spacing w:after="150"/>
        <w:jc w:val="center"/>
        <w:rPr>
          <w:rFonts w:ascii="Arial" w:hAnsi="Arial" w:cs="Arial"/>
          <w:color w:val="333333"/>
          <w:lang w:eastAsia="es-SV"/>
        </w:rPr>
      </w:pPr>
      <w:r>
        <w:rPr>
          <w:noProof/>
          <w:lang w:eastAsia="es-SV"/>
        </w:rPr>
        <w:drawing>
          <wp:inline distT="0" distB="0" distL="0" distR="0" wp14:anchorId="374CB216" wp14:editId="1458B8E8">
            <wp:extent cx="2378780" cy="1363808"/>
            <wp:effectExtent l="0" t="0" r="2540" b="8255"/>
            <wp:docPr id="4" name="Imagen 4" descr="cid:image001.png@01D49911.3788E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 descr="cid:image001.png@01D49911.3788E8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97217" cy="1374379"/>
                    </a:xfrm>
                    <a:prstGeom prst="rect">
                      <a:avLst/>
                    </a:prstGeom>
                    <a:noFill/>
                    <a:ln>
                      <a:noFill/>
                    </a:ln>
                  </pic:spPr>
                </pic:pic>
              </a:graphicData>
            </a:graphic>
          </wp:inline>
        </w:drawing>
      </w:r>
    </w:p>
    <w:p w:rsidR="009D6952" w:rsidRPr="00A80D1A" w:rsidRDefault="009D6952" w:rsidP="009D6952">
      <w:pPr>
        <w:pStyle w:val="Prrafodelista"/>
        <w:numPr>
          <w:ilvl w:val="0"/>
          <w:numId w:val="1"/>
        </w:numPr>
        <w:rPr>
          <w:rFonts w:ascii="Arial" w:hAnsi="Arial" w:cs="Arial"/>
          <w:b/>
          <w:color w:val="333333"/>
          <w:lang w:eastAsia="es-SV"/>
        </w:rPr>
      </w:pPr>
      <w:r w:rsidRPr="00A80D1A">
        <w:rPr>
          <w:rFonts w:ascii="Arial" w:hAnsi="Arial" w:cs="Arial"/>
          <w:b/>
          <w:color w:val="333333"/>
          <w:lang w:eastAsia="es-SV"/>
        </w:rPr>
        <w:t>Audiencias.</w:t>
      </w:r>
    </w:p>
    <w:p w:rsidR="009D6952" w:rsidRDefault="009D6952" w:rsidP="009D6952"/>
    <w:p w:rsidR="009D6952" w:rsidRDefault="009D6952" w:rsidP="009D6952">
      <w:pPr>
        <w:rPr>
          <w:rFonts w:ascii="Arial" w:hAnsi="Arial" w:cs="Arial"/>
          <w:color w:val="333333"/>
          <w:lang w:eastAsia="es-SV"/>
        </w:rPr>
      </w:pPr>
      <w:r w:rsidRPr="006C240E">
        <w:rPr>
          <w:rFonts w:ascii="Arial" w:hAnsi="Arial" w:cs="Arial"/>
          <w:b/>
          <w:color w:val="333333"/>
          <w:lang w:eastAsia="es-SV"/>
        </w:rPr>
        <w:t>Objetivo:</w:t>
      </w:r>
      <w:r>
        <w:rPr>
          <w:rFonts w:ascii="Arial" w:hAnsi="Arial" w:cs="Arial"/>
          <w:b/>
          <w:color w:val="333333"/>
          <w:lang w:eastAsia="es-SV"/>
        </w:rPr>
        <w:t xml:space="preserve"> </w:t>
      </w:r>
      <w:r>
        <w:rPr>
          <w:rFonts w:ascii="Arial" w:hAnsi="Arial" w:cs="Arial"/>
          <w:color w:val="333333"/>
          <w:lang w:eastAsia="es-SV"/>
        </w:rPr>
        <w:t>Dar a conocer los servicios brindados en el ISBM y los beneficios que ofrece el estar afiliado al Programa Especial de Salud a los servidores públicos docentes.</w:t>
      </w:r>
    </w:p>
    <w:p w:rsidR="009D6952" w:rsidRDefault="009D6952" w:rsidP="009D6952">
      <w:pPr>
        <w:rPr>
          <w:rFonts w:ascii="Arial" w:hAnsi="Arial" w:cs="Arial"/>
          <w:color w:val="333333"/>
          <w:lang w:eastAsia="es-SV"/>
        </w:rPr>
      </w:pPr>
    </w:p>
    <w:p w:rsidR="009D6952" w:rsidRDefault="009D6952" w:rsidP="009D6952">
      <w:pPr>
        <w:rPr>
          <w:rFonts w:ascii="Arial" w:hAnsi="Arial" w:cs="Arial"/>
          <w:color w:val="333333"/>
          <w:lang w:eastAsia="es-SV"/>
        </w:rPr>
      </w:pPr>
      <w:r>
        <w:rPr>
          <w:rFonts w:ascii="Arial" w:hAnsi="Arial" w:cs="Arial"/>
          <w:color w:val="333333"/>
          <w:lang w:eastAsia="es-SV"/>
        </w:rPr>
        <w:t>Fecha: 12 y 13 de diciembre 2018.</w:t>
      </w:r>
    </w:p>
    <w:p w:rsidR="009D6952" w:rsidRDefault="009D6952" w:rsidP="009D6952">
      <w:pPr>
        <w:rPr>
          <w:rFonts w:ascii="Arial" w:hAnsi="Arial" w:cs="Arial"/>
          <w:color w:val="333333"/>
          <w:lang w:eastAsia="es-SV"/>
        </w:rPr>
      </w:pPr>
    </w:p>
    <w:p w:rsidR="009D6952" w:rsidRPr="00A80D1A" w:rsidRDefault="009D6952" w:rsidP="009D6952">
      <w:pPr>
        <w:rPr>
          <w:rFonts w:ascii="Arial" w:hAnsi="Arial" w:cs="Arial"/>
          <w:color w:val="333333"/>
          <w:lang w:eastAsia="es-SV"/>
        </w:rPr>
      </w:pPr>
      <w:r>
        <w:rPr>
          <w:rFonts w:ascii="Arial" w:hAnsi="Arial" w:cs="Arial"/>
          <w:color w:val="333333"/>
          <w:lang w:eastAsia="es-SV"/>
        </w:rPr>
        <w:t>Lugar: ESMA de Santa Tecla.</w:t>
      </w:r>
    </w:p>
    <w:p w:rsidR="009D6952" w:rsidRDefault="009D6952" w:rsidP="009D6952">
      <w:pPr>
        <w:rPr>
          <w:rFonts w:ascii="Arial" w:hAnsi="Arial" w:cs="Arial"/>
          <w:b/>
          <w:color w:val="333333"/>
          <w:lang w:eastAsia="es-SV"/>
        </w:rPr>
      </w:pPr>
    </w:p>
    <w:p w:rsidR="009D6952" w:rsidRPr="00A80D1A" w:rsidRDefault="009D6952" w:rsidP="009D6952">
      <w:pPr>
        <w:rPr>
          <w:rFonts w:ascii="Arial" w:hAnsi="Arial" w:cs="Arial"/>
          <w:color w:val="333333"/>
          <w:lang w:eastAsia="es-SV"/>
        </w:rPr>
      </w:pPr>
      <w:r w:rsidRPr="006C240E">
        <w:rPr>
          <w:rFonts w:ascii="Arial" w:hAnsi="Arial" w:cs="Arial"/>
          <w:b/>
          <w:color w:val="333333"/>
          <w:lang w:eastAsia="es-SV"/>
        </w:rPr>
        <w:t>Participación:</w:t>
      </w:r>
      <w:r>
        <w:rPr>
          <w:rFonts w:ascii="Arial" w:hAnsi="Arial" w:cs="Arial"/>
          <w:b/>
          <w:color w:val="333333"/>
          <w:lang w:eastAsia="es-SV"/>
        </w:rPr>
        <w:t xml:space="preserve"> </w:t>
      </w:r>
      <w:r>
        <w:rPr>
          <w:rFonts w:ascii="Arial" w:hAnsi="Arial" w:cs="Arial"/>
          <w:color w:val="333333"/>
          <w:lang w:eastAsia="es-SV"/>
        </w:rPr>
        <w:t>Servidores públicos docentes de nuevo ingreso al sistema de contrato por ley de salarios.</w:t>
      </w:r>
    </w:p>
    <w:p w:rsidR="009D6952" w:rsidRDefault="009D6952" w:rsidP="009D6952"/>
    <w:p w:rsidR="009D6952" w:rsidRDefault="009D6952" w:rsidP="009D6952">
      <w:r w:rsidRPr="006C240E">
        <w:rPr>
          <w:rFonts w:ascii="Arial" w:hAnsi="Arial" w:cs="Arial"/>
          <w:b/>
          <w:color w:val="333333"/>
          <w:lang w:eastAsia="es-SV"/>
        </w:rPr>
        <w:t>Requisitos de Participación:</w:t>
      </w:r>
      <w:r>
        <w:rPr>
          <w:rFonts w:ascii="Arial" w:hAnsi="Arial" w:cs="Arial"/>
          <w:b/>
          <w:color w:val="333333"/>
          <w:lang w:eastAsia="es-SV"/>
        </w:rPr>
        <w:t xml:space="preserve"> </w:t>
      </w:r>
      <w:r w:rsidRPr="00A80D1A">
        <w:rPr>
          <w:rFonts w:ascii="Arial" w:hAnsi="Arial" w:cs="Arial"/>
          <w:color w:val="333333"/>
          <w:lang w:eastAsia="es-SV"/>
        </w:rPr>
        <w:t>Servidor público docente seleccionados por el Tribunal Calificador de la Carrera Docente, para ocupar las plazas en Centros Escolares a partir del 7 de enero de 2019.</w:t>
      </w:r>
    </w:p>
    <w:p w:rsidR="009D6952" w:rsidRDefault="009D6952" w:rsidP="009D6952">
      <w:pPr>
        <w:rPr>
          <w:rFonts w:ascii="Arial" w:hAnsi="Arial" w:cs="Arial"/>
          <w:b/>
          <w:color w:val="333333"/>
          <w:lang w:eastAsia="es-SV"/>
        </w:rPr>
      </w:pPr>
    </w:p>
    <w:p w:rsidR="009D6952" w:rsidRDefault="009D6952" w:rsidP="009D6952">
      <w:pPr>
        <w:rPr>
          <w:rFonts w:ascii="Arial" w:hAnsi="Arial" w:cs="Arial"/>
          <w:b/>
          <w:color w:val="333333"/>
          <w:lang w:eastAsia="es-SV"/>
        </w:rPr>
      </w:pPr>
      <w:r w:rsidRPr="006C240E">
        <w:rPr>
          <w:rFonts w:ascii="Arial" w:hAnsi="Arial" w:cs="Arial"/>
          <w:b/>
          <w:color w:val="333333"/>
          <w:lang w:eastAsia="es-SV"/>
        </w:rPr>
        <w:t>Resultados:</w:t>
      </w:r>
    </w:p>
    <w:p w:rsidR="009D6952" w:rsidRDefault="009D6952" w:rsidP="009D6952">
      <w:pPr>
        <w:jc w:val="both"/>
        <w:rPr>
          <w:rFonts w:ascii="Arial" w:hAnsi="Arial" w:cs="Arial"/>
          <w:color w:val="333333"/>
          <w:lang w:eastAsia="es-SV"/>
        </w:rPr>
      </w:pPr>
      <w:r w:rsidRPr="00A80D1A">
        <w:rPr>
          <w:rFonts w:ascii="Arial" w:hAnsi="Arial" w:cs="Arial"/>
          <w:color w:val="333333"/>
          <w:lang w:eastAsia="es-SV"/>
        </w:rPr>
        <w:t>Asistencia aproximadamente 3</w:t>
      </w:r>
      <w:r>
        <w:rPr>
          <w:rFonts w:ascii="Arial" w:hAnsi="Arial" w:cs="Arial"/>
          <w:color w:val="333333"/>
          <w:lang w:eastAsia="es-SV"/>
        </w:rPr>
        <w:t>0</w:t>
      </w:r>
      <w:r w:rsidRPr="00A80D1A">
        <w:rPr>
          <w:rFonts w:ascii="Arial" w:hAnsi="Arial" w:cs="Arial"/>
          <w:color w:val="333333"/>
          <w:lang w:eastAsia="es-SV"/>
        </w:rPr>
        <w:t>0 servidores</w:t>
      </w:r>
      <w:r>
        <w:rPr>
          <w:rFonts w:ascii="Arial" w:hAnsi="Arial" w:cs="Arial"/>
          <w:b/>
          <w:color w:val="333333"/>
          <w:lang w:eastAsia="es-SV"/>
        </w:rPr>
        <w:t xml:space="preserve"> </w:t>
      </w:r>
      <w:r w:rsidRPr="00A80D1A">
        <w:rPr>
          <w:rFonts w:ascii="Arial" w:hAnsi="Arial" w:cs="Arial"/>
          <w:color w:val="333333"/>
          <w:lang w:eastAsia="es-SV"/>
        </w:rPr>
        <w:t>públicos docentes, a los cuales se les invitó a afiliarse al Programa Especial de Salud desde su toma de posesión, aprovechando a señalar los avances institucionales y de gobierno en educación, como contratación por ley de Salario a más de 9000 docentes ex EDUCO y ampliación de cobertura para hijos de docentes por ISBM de 21 a 25 años al depender económicamente de sus padres y estar estudiando, entre otras. Esto continuó con un centenar más de docentes la mañana del jueves 13, en las instalaciones del Instituto Damián Villacorta.</w:t>
      </w:r>
    </w:p>
    <w:p w:rsidR="009D6952" w:rsidRDefault="009D6952" w:rsidP="009D6952">
      <w:pPr>
        <w:shd w:val="clear" w:color="auto" w:fill="FFFFFF"/>
        <w:spacing w:after="150"/>
        <w:jc w:val="both"/>
        <w:rPr>
          <w:rFonts w:ascii="Arial" w:hAnsi="Arial" w:cs="Arial"/>
          <w:color w:val="333333"/>
          <w:lang w:eastAsia="es-SV"/>
        </w:rPr>
      </w:pPr>
    </w:p>
    <w:p w:rsidR="009D6952" w:rsidRPr="00A80D1A" w:rsidRDefault="009D6952" w:rsidP="009D6952">
      <w:pPr>
        <w:pStyle w:val="Prrafodelista"/>
        <w:numPr>
          <w:ilvl w:val="0"/>
          <w:numId w:val="1"/>
        </w:numPr>
        <w:shd w:val="clear" w:color="auto" w:fill="FFFFFF"/>
        <w:spacing w:after="150"/>
        <w:jc w:val="both"/>
        <w:rPr>
          <w:rFonts w:ascii="Arial" w:hAnsi="Arial" w:cs="Arial"/>
          <w:b/>
          <w:color w:val="333333"/>
          <w:lang w:eastAsia="es-SV"/>
        </w:rPr>
      </w:pPr>
      <w:r w:rsidRPr="00A80D1A">
        <w:rPr>
          <w:rFonts w:ascii="Arial" w:hAnsi="Arial" w:cs="Arial"/>
          <w:b/>
          <w:color w:val="333333"/>
          <w:lang w:eastAsia="es-SV"/>
        </w:rPr>
        <w:t>Sistema de Atención Ciudadana.</w:t>
      </w:r>
    </w:p>
    <w:p w:rsidR="009D6952" w:rsidRPr="00AF529B" w:rsidRDefault="009D6952" w:rsidP="009D6952">
      <w:pPr>
        <w:shd w:val="clear" w:color="auto" w:fill="FFFFFF"/>
        <w:spacing w:after="150"/>
        <w:jc w:val="both"/>
        <w:rPr>
          <w:rFonts w:ascii="Arial" w:hAnsi="Arial" w:cs="Arial"/>
          <w:color w:val="333333"/>
          <w:lang w:eastAsia="es-SV"/>
        </w:rPr>
      </w:pPr>
      <w:r w:rsidRPr="006C240E">
        <w:rPr>
          <w:rFonts w:ascii="Arial" w:hAnsi="Arial" w:cs="Arial"/>
          <w:b/>
          <w:color w:val="333333"/>
          <w:lang w:eastAsia="es-SV"/>
        </w:rPr>
        <w:t>Objetivo:</w:t>
      </w:r>
      <w:r>
        <w:rPr>
          <w:rFonts w:ascii="Arial" w:hAnsi="Arial" w:cs="Arial"/>
          <w:b/>
          <w:color w:val="333333"/>
          <w:lang w:eastAsia="es-SV"/>
        </w:rPr>
        <w:t xml:space="preserve"> </w:t>
      </w:r>
      <w:r w:rsidRPr="0052230C">
        <w:rPr>
          <w:rFonts w:ascii="Arial" w:hAnsi="Arial" w:cs="Arial"/>
          <w:color w:val="333333"/>
          <w:lang w:eastAsia="es-SV"/>
        </w:rPr>
        <w:t xml:space="preserve">Mecanismo de participación </w:t>
      </w:r>
      <w:r>
        <w:rPr>
          <w:rFonts w:ascii="Arial" w:hAnsi="Arial" w:cs="Arial"/>
          <w:color w:val="333333"/>
          <w:lang w:eastAsia="es-SV"/>
        </w:rPr>
        <w:t xml:space="preserve">ciudadana que, desde su lanzamiento en agosto 2018 por la Secretaria de Participación Ciudadana, Transparencia y Anticorrupción, ha permitido </w:t>
      </w:r>
      <w:r w:rsidRPr="0052230C">
        <w:rPr>
          <w:rFonts w:ascii="Arial" w:hAnsi="Arial" w:cs="Arial"/>
          <w:color w:val="333333"/>
          <w:lang w:eastAsia="es-SV"/>
        </w:rPr>
        <w:t>interactuar con los usuarios y la población en general.</w:t>
      </w:r>
      <w:r>
        <w:rPr>
          <w:rFonts w:ascii="Arial" w:hAnsi="Arial" w:cs="Arial"/>
          <w:b/>
          <w:color w:val="333333"/>
          <w:lang w:eastAsia="es-SV"/>
        </w:rPr>
        <w:t xml:space="preserve"> </w:t>
      </w:r>
      <w:r w:rsidRPr="00AF529B">
        <w:rPr>
          <w:rFonts w:ascii="Arial" w:hAnsi="Arial" w:cs="Arial"/>
          <w:color w:val="333333"/>
          <w:lang w:eastAsia="es-SV"/>
        </w:rPr>
        <w:t>Asimismo, es una herramienta para mejorar la gestión institucional en la prestación de los servicios y prevención de actos de corrupción.</w:t>
      </w:r>
    </w:p>
    <w:p w:rsidR="009D6952" w:rsidRPr="00A61185" w:rsidRDefault="009D6952" w:rsidP="009D6952">
      <w:pPr>
        <w:shd w:val="clear" w:color="auto" w:fill="FFFFFF"/>
        <w:spacing w:after="150"/>
        <w:jc w:val="both"/>
        <w:rPr>
          <w:rFonts w:ascii="Arial" w:hAnsi="Arial" w:cs="Arial"/>
          <w:color w:val="333333"/>
          <w:lang w:eastAsia="es-SV"/>
        </w:rPr>
      </w:pPr>
      <w:r w:rsidRPr="006C240E">
        <w:rPr>
          <w:rFonts w:ascii="Arial" w:hAnsi="Arial" w:cs="Arial"/>
          <w:b/>
          <w:color w:val="333333"/>
          <w:lang w:eastAsia="es-SV"/>
        </w:rPr>
        <w:t>Participación:</w:t>
      </w:r>
      <w:r>
        <w:rPr>
          <w:rFonts w:ascii="Arial" w:hAnsi="Arial" w:cs="Arial"/>
          <w:b/>
          <w:color w:val="333333"/>
          <w:lang w:eastAsia="es-SV"/>
        </w:rPr>
        <w:t xml:space="preserve"> </w:t>
      </w:r>
      <w:r w:rsidRPr="00A61185">
        <w:rPr>
          <w:rFonts w:ascii="Arial" w:hAnsi="Arial" w:cs="Arial"/>
          <w:color w:val="333333"/>
          <w:lang w:eastAsia="es-SV"/>
        </w:rPr>
        <w:t>Los ciudadanos</w:t>
      </w:r>
      <w:r>
        <w:rPr>
          <w:rFonts w:ascii="Arial" w:hAnsi="Arial" w:cs="Arial"/>
          <w:b/>
          <w:color w:val="333333"/>
          <w:lang w:eastAsia="es-SV"/>
        </w:rPr>
        <w:t xml:space="preserve"> </w:t>
      </w:r>
      <w:r w:rsidRPr="00A61185">
        <w:rPr>
          <w:rFonts w:ascii="Arial" w:hAnsi="Arial" w:cs="Arial"/>
          <w:color w:val="333333"/>
          <w:lang w:eastAsia="es-SV"/>
        </w:rPr>
        <w:t xml:space="preserve">pueden acceder a los diferentes medios que permiten ingresar sus consultas, quejas, reclamos, sugerencias, avisos y felicitaciones. </w:t>
      </w:r>
    </w:p>
    <w:p w:rsidR="009D6952" w:rsidRPr="006C240E" w:rsidRDefault="009D6952" w:rsidP="009D6952">
      <w:pPr>
        <w:shd w:val="clear" w:color="auto" w:fill="FFFFFF"/>
        <w:spacing w:after="150"/>
        <w:jc w:val="both"/>
        <w:rPr>
          <w:rFonts w:ascii="Arial" w:hAnsi="Arial" w:cs="Arial"/>
          <w:b/>
          <w:color w:val="333333"/>
          <w:lang w:eastAsia="es-SV"/>
        </w:rPr>
      </w:pPr>
      <w:r w:rsidRPr="006C240E">
        <w:rPr>
          <w:rFonts w:ascii="Arial" w:hAnsi="Arial" w:cs="Arial"/>
          <w:b/>
          <w:color w:val="333333"/>
          <w:lang w:eastAsia="es-SV"/>
        </w:rPr>
        <w:t>Requisitos de Participación:</w:t>
      </w:r>
      <w:r>
        <w:rPr>
          <w:rFonts w:ascii="Arial" w:hAnsi="Arial" w:cs="Arial"/>
          <w:b/>
          <w:color w:val="333333"/>
          <w:lang w:eastAsia="es-SV"/>
        </w:rPr>
        <w:t xml:space="preserve"> </w:t>
      </w:r>
      <w:r w:rsidRPr="003E7309">
        <w:rPr>
          <w:rFonts w:ascii="Arial" w:hAnsi="Arial" w:cs="Arial"/>
          <w:color w:val="333333"/>
          <w:lang w:eastAsia="es-SV"/>
        </w:rPr>
        <w:t>N/A</w:t>
      </w:r>
      <w:r>
        <w:rPr>
          <w:rFonts w:ascii="Arial" w:hAnsi="Arial" w:cs="Arial"/>
          <w:color w:val="333333"/>
          <w:lang w:eastAsia="es-SV"/>
        </w:rPr>
        <w:t>.</w:t>
      </w:r>
    </w:p>
    <w:p w:rsidR="009D6952" w:rsidRDefault="009D6952" w:rsidP="009D6952">
      <w:pPr>
        <w:shd w:val="clear" w:color="auto" w:fill="FFFFFF"/>
        <w:spacing w:after="150"/>
        <w:jc w:val="both"/>
        <w:rPr>
          <w:rFonts w:ascii="Arial" w:hAnsi="Arial" w:cs="Arial"/>
          <w:b/>
          <w:color w:val="333333"/>
          <w:lang w:eastAsia="es-SV"/>
        </w:rPr>
      </w:pPr>
      <w:r w:rsidRPr="006C240E">
        <w:rPr>
          <w:rFonts w:ascii="Arial" w:hAnsi="Arial" w:cs="Arial"/>
          <w:b/>
          <w:color w:val="333333"/>
          <w:lang w:eastAsia="es-SV"/>
        </w:rPr>
        <w:t>Resultados:</w:t>
      </w:r>
      <w:r>
        <w:rPr>
          <w:rFonts w:ascii="Arial" w:hAnsi="Arial" w:cs="Arial"/>
          <w:b/>
          <w:color w:val="333333"/>
          <w:lang w:eastAsia="es-SV"/>
        </w:rPr>
        <w:t xml:space="preserve"> </w:t>
      </w:r>
    </w:p>
    <w:p w:rsidR="009D6952" w:rsidRPr="00AF529B" w:rsidRDefault="009D6952" w:rsidP="009D6952">
      <w:pPr>
        <w:shd w:val="clear" w:color="auto" w:fill="FFFFFF"/>
        <w:spacing w:after="150"/>
        <w:jc w:val="both"/>
        <w:rPr>
          <w:rFonts w:ascii="Arial" w:hAnsi="Arial" w:cs="Arial"/>
          <w:color w:val="333333"/>
          <w:lang w:eastAsia="es-SV"/>
        </w:rPr>
      </w:pPr>
      <w:r>
        <w:rPr>
          <w:rFonts w:ascii="Arial" w:hAnsi="Arial" w:cs="Arial"/>
          <w:color w:val="333333"/>
          <w:lang w:eastAsia="es-SV"/>
        </w:rPr>
        <w:t>Desde el mes de agosto 2018 al 31 de diciembre 2018</w:t>
      </w:r>
      <w:r w:rsidRPr="00E41521">
        <w:rPr>
          <w:rFonts w:ascii="Arial" w:hAnsi="Arial" w:cs="Arial"/>
          <w:color w:val="333333"/>
          <w:lang w:eastAsia="es-SV"/>
        </w:rPr>
        <w:t>,</w:t>
      </w:r>
      <w:r>
        <w:rPr>
          <w:rFonts w:ascii="Arial" w:hAnsi="Arial" w:cs="Arial"/>
          <w:color w:val="333333"/>
          <w:lang w:eastAsia="es-SV"/>
        </w:rPr>
        <w:t xml:space="preserve"> se registraron y gestionaron </w:t>
      </w:r>
      <w:r w:rsidRPr="00AF529B">
        <w:rPr>
          <w:rFonts w:ascii="Arial" w:hAnsi="Arial" w:cs="Arial"/>
          <w:noProof/>
          <w:color w:val="333333"/>
          <w:lang w:eastAsia="es-SV"/>
        </w:rPr>
        <w:drawing>
          <wp:anchor distT="0" distB="0" distL="114300" distR="114300" simplePos="0" relativeHeight="251659264" behindDoc="0" locked="0" layoutInCell="1" allowOverlap="1" wp14:anchorId="2ABA57A0" wp14:editId="49C06992">
            <wp:simplePos x="0" y="0"/>
            <wp:positionH relativeFrom="column">
              <wp:posOffset>-363855</wp:posOffset>
            </wp:positionH>
            <wp:positionV relativeFrom="paragraph">
              <wp:posOffset>513080</wp:posOffset>
            </wp:positionV>
            <wp:extent cx="6391436" cy="120904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436" cy="1209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29B">
        <w:rPr>
          <w:rFonts w:ascii="Arial" w:hAnsi="Arial" w:cs="Arial"/>
          <w:color w:val="333333"/>
          <w:lang w:eastAsia="es-SV"/>
        </w:rPr>
        <w:t>un total de 19 casos, de los cuales 17 fueron cerrados y 2 quedaron en proceso.  (Ver gráfico 1)</w:t>
      </w:r>
      <w:r>
        <w:rPr>
          <w:rFonts w:ascii="Arial" w:hAnsi="Arial" w:cs="Arial"/>
          <w:color w:val="333333"/>
          <w:lang w:eastAsia="es-SV"/>
        </w:rPr>
        <w:t>.</w:t>
      </w:r>
    </w:p>
    <w:p w:rsidR="009D6952" w:rsidRDefault="009D6952" w:rsidP="009D6952">
      <w:pPr>
        <w:shd w:val="clear" w:color="auto" w:fill="FFFFFF"/>
        <w:spacing w:after="150"/>
        <w:jc w:val="both"/>
        <w:rPr>
          <w:rFonts w:ascii="Arial" w:hAnsi="Arial" w:cs="Arial"/>
          <w:color w:val="333333"/>
          <w:lang w:eastAsia="es-SV"/>
        </w:rPr>
      </w:pPr>
    </w:p>
    <w:p w:rsidR="009D6952" w:rsidRDefault="009D6952" w:rsidP="009D6952">
      <w:pPr>
        <w:jc w:val="both"/>
        <w:rPr>
          <w:rFonts w:ascii="Arial" w:hAnsi="Arial" w:cs="Arial"/>
          <w:color w:val="333333"/>
          <w:lang w:eastAsia="es-SV"/>
        </w:rPr>
      </w:pPr>
      <w:r w:rsidRPr="00AF529B">
        <w:rPr>
          <w:rFonts w:ascii="Arial" w:hAnsi="Arial" w:cs="Arial"/>
          <w:color w:val="333333"/>
          <w:lang w:eastAsia="es-SV"/>
        </w:rPr>
        <w:t>El porcentaje de casos registrados con relación al tipo de categoría fue el de reclamos con el 35%, seguido por el de consulta con un 31%, las categorías de queja y petición con un 13% cada una y las de felicitación y sugerencia con 4%. El tiempo de contacto establecido por la SPTA es de 48 horas después que el ciudadano ha ingresado su caso, el cual se ha cumplido en un 100%. Asimismo, el tiempo en que se les ha resuelto el caso está dentro de los 10 días hábiles siguientes a la recepción del mismo.</w:t>
      </w:r>
    </w:p>
    <w:p w:rsidR="009D6952" w:rsidRDefault="009D6952" w:rsidP="009D6952">
      <w:pPr>
        <w:jc w:val="both"/>
        <w:rPr>
          <w:rFonts w:ascii="Arial" w:hAnsi="Arial" w:cs="Arial"/>
          <w:color w:val="333333"/>
          <w:lang w:eastAsia="es-SV"/>
        </w:rPr>
      </w:pPr>
    </w:p>
    <w:p w:rsidR="000819A0" w:rsidRDefault="000819A0"/>
    <w:sectPr w:rsidR="00081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00CE"/>
    <w:multiLevelType w:val="hybridMultilevel"/>
    <w:tmpl w:val="333856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52"/>
    <w:rsid w:val="000819A0"/>
    <w:rsid w:val="009D69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7E79DB0-4BBC-40FD-B82A-23DC61D3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952"/>
    <w:pPr>
      <w:spacing w:after="0" w:line="240" w:lineRule="auto"/>
    </w:pPr>
    <w:rPr>
      <w:rFonts w:ascii="Calibri" w:hAnsi="Calibri" w:cs="Times New Roman"/>
    </w:rPr>
  </w:style>
  <w:style w:type="paragraph" w:styleId="Ttulo1">
    <w:name w:val="heading 1"/>
    <w:basedOn w:val="Normal"/>
    <w:next w:val="Normal"/>
    <w:link w:val="Ttulo1Car"/>
    <w:uiPriority w:val="9"/>
    <w:qFormat/>
    <w:rsid w:val="009D69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6952"/>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D6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9911.3788E8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Cristina Díaz de Fagoaga</dc:creator>
  <cp:keywords/>
  <dc:description/>
  <cp:lastModifiedBy/>
  <cp:revision>1</cp:revision>
  <dcterms:created xsi:type="dcterms:W3CDTF">2019-02-19T21:55:00Z</dcterms:created>
</cp:coreProperties>
</file>