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49" w:rsidRPr="00FA78E7" w:rsidRDefault="00532849" w:rsidP="00BC5695">
      <w:pPr>
        <w:spacing w:line="240" w:lineRule="auto"/>
        <w:ind w:left="-142" w:firstLine="142"/>
        <w:jc w:val="center"/>
        <w:rPr>
          <w:rFonts w:ascii="Museo Sans 100" w:hAnsi="Museo Sans 100" w:cs="*Calibri-Bold-4722-Identity-H"/>
          <w:b/>
          <w:bCs/>
          <w:color w:val="312E30"/>
          <w:sz w:val="24"/>
          <w:szCs w:val="24"/>
        </w:rPr>
      </w:pPr>
      <w:r w:rsidRPr="00FA78E7">
        <w:rPr>
          <w:rFonts w:ascii="Museo Sans 100" w:hAnsi="Museo Sans 100" w:cs="*Calibri-Bold-4722-Identity-H"/>
          <w:b/>
          <w:bCs/>
          <w:color w:val="312E30"/>
          <w:sz w:val="24"/>
          <w:szCs w:val="24"/>
        </w:rPr>
        <w:t>DECLARATORIA DE INEXISTENCIA SOBRE INFORMACIÓN OFICIOSA</w:t>
      </w:r>
    </w:p>
    <w:p w:rsidR="00C23084" w:rsidRPr="00FA78E7" w:rsidRDefault="00C23084" w:rsidP="00C23084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 w:cs="*Calibri-Bold-4722-Identity-H"/>
          <w:b/>
          <w:bCs/>
          <w:color w:val="312E30"/>
          <w:sz w:val="24"/>
          <w:szCs w:val="24"/>
        </w:rPr>
      </w:pPr>
    </w:p>
    <w:p w:rsidR="001623EC" w:rsidRPr="001623EC" w:rsidRDefault="001623EC" w:rsidP="001623EC">
      <w:pPr>
        <w:autoSpaceDE w:val="0"/>
        <w:autoSpaceDN w:val="0"/>
        <w:adjustRightInd w:val="0"/>
        <w:spacing w:after="0" w:line="240" w:lineRule="auto"/>
        <w:rPr>
          <w:rFonts w:ascii="Museo Sans 100" w:hAnsi="Museo Sans 100" w:cs="*Calibri-Bold-4722-Identity-H"/>
          <w:b/>
          <w:bCs/>
          <w:color w:val="302D2F"/>
          <w:sz w:val="24"/>
          <w:szCs w:val="24"/>
        </w:rPr>
      </w:pPr>
      <w:r w:rsidRPr="001623EC">
        <w:rPr>
          <w:rFonts w:ascii="Museo Sans 100" w:hAnsi="Museo Sans 100" w:cs="*Calibri-Bold-4722-Identity-H"/>
          <w:b/>
          <w:bCs/>
          <w:color w:val="302D2F"/>
          <w:sz w:val="24"/>
          <w:szCs w:val="24"/>
        </w:rPr>
        <w:t>CONSIDERANDOS</w:t>
      </w:r>
    </w:p>
    <w:p w:rsidR="001623EC" w:rsidRPr="001623EC" w:rsidRDefault="001623EC" w:rsidP="001623EC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*Calibri-Bold-4722-Identity-H"/>
          <w:b/>
          <w:bCs/>
          <w:color w:val="302D2F"/>
          <w:sz w:val="24"/>
          <w:szCs w:val="24"/>
        </w:rPr>
      </w:pPr>
    </w:p>
    <w:p w:rsidR="001623EC" w:rsidRPr="001623EC" w:rsidRDefault="001623EC" w:rsidP="001623EC">
      <w:pPr>
        <w:spacing w:after="0"/>
        <w:jc w:val="both"/>
        <w:rPr>
          <w:rFonts w:ascii="Museo Sans 100" w:hAnsi="Museo Sans 100" w:cstheme="majorHAnsi"/>
          <w:color w:val="39383B"/>
          <w:sz w:val="24"/>
        </w:rPr>
      </w:pPr>
      <w:r w:rsidRPr="001623EC">
        <w:rPr>
          <w:rFonts w:ascii="Museo Sans 100" w:hAnsi="Museo Sans 100" w:cstheme="majorHAnsi"/>
          <w:color w:val="39383B"/>
          <w:sz w:val="24"/>
        </w:rPr>
        <w:t xml:space="preserve">Que de conformidad al Artículo 50 de la Ley de Acceso a la Información Pública, el Oficial de Información, es el encargado de actuar de forma oficiosa; atender solicitudes de información que los ciudadanos presenten respecto a la información que se produce, en la Institución. </w:t>
      </w:r>
    </w:p>
    <w:p w:rsidR="001623EC" w:rsidRPr="001623EC" w:rsidRDefault="001623EC" w:rsidP="001623EC">
      <w:pPr>
        <w:spacing w:after="0"/>
        <w:jc w:val="both"/>
        <w:rPr>
          <w:rFonts w:ascii="Museo Sans 100" w:hAnsi="Museo Sans 100" w:cstheme="majorHAnsi"/>
          <w:color w:val="39383B"/>
          <w:sz w:val="24"/>
        </w:rPr>
      </w:pPr>
    </w:p>
    <w:p w:rsidR="001623EC" w:rsidRPr="001623EC" w:rsidRDefault="001623EC" w:rsidP="001623EC">
      <w:pPr>
        <w:spacing w:after="0"/>
        <w:jc w:val="both"/>
        <w:rPr>
          <w:rFonts w:ascii="Museo Sans 100" w:hAnsi="Museo Sans 100" w:cstheme="majorHAnsi"/>
          <w:color w:val="383738"/>
          <w:sz w:val="24"/>
        </w:rPr>
      </w:pPr>
      <w:r w:rsidRPr="001623EC">
        <w:rPr>
          <w:rFonts w:ascii="Museo Sans 100" w:hAnsi="Museo Sans 100" w:cstheme="majorHAnsi"/>
          <w:color w:val="383738"/>
          <w:sz w:val="24"/>
        </w:rPr>
        <w:t xml:space="preserve">Que de conformidad al Artículo 10 de la referida Ley, el cual indica que "los entes obligados, de manera oficiosa, pondrán a disposición del público, divulgarán y actualizarán, en los términos de los lineamientos que expida el Instituto, la información siguiente: </w:t>
      </w:r>
    </w:p>
    <w:p w:rsidR="001623EC" w:rsidRPr="001623EC" w:rsidRDefault="001623EC" w:rsidP="001623EC">
      <w:pPr>
        <w:spacing w:after="0"/>
        <w:jc w:val="both"/>
        <w:rPr>
          <w:rFonts w:ascii="Museo Sans 100" w:hAnsi="Museo Sans 100" w:cstheme="majorHAnsi"/>
          <w:color w:val="383738"/>
          <w:sz w:val="24"/>
        </w:rPr>
      </w:pPr>
    </w:p>
    <w:p w:rsidR="001623EC" w:rsidRPr="001623EC" w:rsidRDefault="001623EC" w:rsidP="001623EC">
      <w:pPr>
        <w:spacing w:after="0"/>
        <w:jc w:val="both"/>
        <w:rPr>
          <w:rFonts w:ascii="Museo Sans 100" w:hAnsi="Museo Sans 100" w:cstheme="majorHAnsi"/>
          <w:b/>
          <w:bCs/>
          <w:color w:val="2B2A2B"/>
          <w:sz w:val="24"/>
        </w:rPr>
      </w:pPr>
      <w:r w:rsidRPr="001623EC">
        <w:rPr>
          <w:rFonts w:ascii="Museo Sans 100" w:hAnsi="Museo Sans 100" w:cstheme="majorHAnsi"/>
          <w:b/>
          <w:bCs/>
          <w:color w:val="2B2A2B"/>
          <w:sz w:val="24"/>
        </w:rPr>
        <w:t xml:space="preserve">Numeral 21, "Los mecanismos de participación ciudadana y rendición de cuentas existentes en el ámbito de competencia de cada institución, de las modalidades y resultados del uso de dichos mecanismos”  </w:t>
      </w:r>
    </w:p>
    <w:p w:rsidR="001623EC" w:rsidRPr="001623EC" w:rsidRDefault="001623EC" w:rsidP="001623EC">
      <w:pPr>
        <w:spacing w:after="0"/>
        <w:jc w:val="both"/>
        <w:rPr>
          <w:rFonts w:ascii="Museo Sans 100" w:hAnsi="Museo Sans 100" w:cstheme="majorHAnsi"/>
          <w:b/>
          <w:bCs/>
          <w:color w:val="2B2A2B"/>
          <w:sz w:val="24"/>
        </w:rPr>
      </w:pPr>
    </w:p>
    <w:p w:rsidR="001623EC" w:rsidRPr="001623EC" w:rsidRDefault="001623EC" w:rsidP="001623EC">
      <w:pPr>
        <w:spacing w:after="0"/>
        <w:jc w:val="both"/>
        <w:rPr>
          <w:rFonts w:ascii="Museo Sans 100" w:hAnsi="Museo Sans 100" w:cstheme="majorHAnsi"/>
          <w:b/>
          <w:bCs/>
          <w:color w:val="353135"/>
          <w:sz w:val="24"/>
        </w:rPr>
      </w:pPr>
      <w:r w:rsidRPr="001623EC">
        <w:rPr>
          <w:rFonts w:ascii="Museo Sans 100" w:hAnsi="Museo Sans 100" w:cstheme="majorHAnsi"/>
          <w:b/>
          <w:bCs/>
          <w:color w:val="353135"/>
          <w:sz w:val="24"/>
        </w:rPr>
        <w:t xml:space="preserve">RESUELVE </w:t>
      </w:r>
    </w:p>
    <w:p w:rsidR="001623EC" w:rsidRPr="001623EC" w:rsidRDefault="001623EC" w:rsidP="001623EC">
      <w:pPr>
        <w:spacing w:after="0"/>
        <w:jc w:val="both"/>
        <w:rPr>
          <w:rFonts w:ascii="Museo Sans 100" w:hAnsi="Museo Sans 100" w:cstheme="majorHAnsi"/>
          <w:b/>
          <w:bCs/>
          <w:color w:val="353135"/>
          <w:sz w:val="24"/>
        </w:rPr>
      </w:pPr>
    </w:p>
    <w:p w:rsidR="00865BC0" w:rsidRPr="00865BC0" w:rsidRDefault="001623EC" w:rsidP="001623EC">
      <w:pPr>
        <w:spacing w:after="0"/>
        <w:jc w:val="both"/>
        <w:rPr>
          <w:rFonts w:ascii="Museo Sans 100" w:hAnsi="Museo Sans 100" w:cstheme="majorHAnsi"/>
          <w:color w:val="383738"/>
          <w:sz w:val="24"/>
        </w:rPr>
      </w:pPr>
      <w:r w:rsidRPr="001623EC">
        <w:rPr>
          <w:rFonts w:ascii="Museo Sans 100" w:hAnsi="Museo Sans 100" w:cstheme="majorHAnsi"/>
          <w:color w:val="383738"/>
          <w:sz w:val="24"/>
        </w:rPr>
        <w:t xml:space="preserve">Que la información pública de carácter oficiosa prevista en el Artículo 10 Numeral 21, en lo referente a </w:t>
      </w:r>
      <w:r w:rsidRPr="001623EC">
        <w:rPr>
          <w:rFonts w:ascii="Museo Sans 100" w:hAnsi="Museo Sans 100" w:cstheme="majorHAnsi"/>
          <w:b/>
          <w:color w:val="383738"/>
          <w:sz w:val="24"/>
          <w:u w:val="single"/>
        </w:rPr>
        <w:t>mecanismos de participación ciudadana</w:t>
      </w:r>
      <w:r w:rsidRPr="001623EC">
        <w:rPr>
          <w:rFonts w:ascii="Museo Sans 100" w:hAnsi="Museo Sans 100" w:cstheme="majorHAnsi"/>
          <w:b/>
          <w:color w:val="383738"/>
          <w:sz w:val="24"/>
        </w:rPr>
        <w:t>,</w:t>
      </w:r>
      <w:r w:rsidRPr="001623EC">
        <w:rPr>
          <w:rFonts w:ascii="Museo Sans 100" w:hAnsi="Museo Sans 100" w:cstheme="majorHAnsi"/>
          <w:color w:val="383738"/>
          <w:sz w:val="24"/>
        </w:rPr>
        <w:t xml:space="preserve"> es de carácter </w:t>
      </w:r>
      <w:r w:rsidRPr="001623EC">
        <w:rPr>
          <w:rFonts w:ascii="Museo Sans 100" w:hAnsi="Museo Sans 100" w:cstheme="majorHAnsi"/>
          <w:color w:val="383738"/>
          <w:sz w:val="24"/>
        </w:rPr>
        <w:t>INEXISTENTE</w:t>
      </w:r>
      <w:r w:rsidRPr="001623EC">
        <w:rPr>
          <w:rFonts w:ascii="Museo Sans 100" w:hAnsi="Museo Sans 100" w:cstheme="majorHAnsi"/>
          <w:color w:val="383738"/>
          <w:sz w:val="24"/>
        </w:rPr>
        <w:t xml:space="preserve"> en el FONDO SALVADOREÑO PARA ESTUDIOS DE PREINVERSIÓN</w:t>
      </w:r>
      <w:r>
        <w:rPr>
          <w:rFonts w:ascii="Museo Sans 100" w:hAnsi="Museo Sans 100" w:cstheme="majorHAnsi"/>
          <w:color w:val="383738"/>
          <w:sz w:val="24"/>
        </w:rPr>
        <w:t xml:space="preserve"> </w:t>
      </w:r>
      <w:r w:rsidRPr="001623EC">
        <w:rPr>
          <w:rFonts w:ascii="Museo Sans 100" w:hAnsi="Museo Sans 100" w:cstheme="majorHAnsi"/>
          <w:color w:val="383738"/>
          <w:sz w:val="24"/>
        </w:rPr>
        <w:t>FOSEP en el año 202</w:t>
      </w:r>
      <w:r w:rsidR="00865BC0" w:rsidRPr="001623EC">
        <w:rPr>
          <w:rFonts w:ascii="Museo Sans 100" w:hAnsi="Museo Sans 100" w:cstheme="majorHAnsi"/>
          <w:color w:val="383738"/>
          <w:sz w:val="24"/>
        </w:rPr>
        <w:t>2</w:t>
      </w:r>
      <w:r w:rsidR="00865BC0" w:rsidRPr="00865BC0">
        <w:rPr>
          <w:rFonts w:ascii="Museo Sans 100" w:hAnsi="Museo Sans 100" w:cstheme="majorHAnsi"/>
          <w:color w:val="383738"/>
          <w:sz w:val="24"/>
        </w:rPr>
        <w:t>.</w:t>
      </w:r>
    </w:p>
    <w:p w:rsidR="00865BC0" w:rsidRPr="004453E1" w:rsidRDefault="00865BC0" w:rsidP="00865BC0">
      <w:pPr>
        <w:spacing w:after="0"/>
        <w:jc w:val="both"/>
        <w:rPr>
          <w:rFonts w:ascii="Bahnschrift SemiCondensed" w:hAnsi="Bahnschrift SemiCondensed" w:cstheme="majorHAnsi"/>
          <w:color w:val="383738"/>
          <w:sz w:val="24"/>
        </w:rPr>
      </w:pPr>
    </w:p>
    <w:p w:rsidR="008A587A" w:rsidRPr="00FA78E7" w:rsidRDefault="008A587A" w:rsidP="008A587A">
      <w:pPr>
        <w:spacing w:after="0"/>
        <w:jc w:val="both"/>
        <w:rPr>
          <w:rFonts w:ascii="Museo Sans 100" w:hAnsi="Museo Sans 100" w:cstheme="majorHAnsi"/>
          <w:sz w:val="24"/>
          <w:szCs w:val="24"/>
        </w:rPr>
      </w:pPr>
      <w:r w:rsidRPr="00FA78E7">
        <w:rPr>
          <w:rFonts w:ascii="Museo Sans 100" w:hAnsi="Museo Sans 100" w:cstheme="majorHAnsi"/>
          <w:color w:val="383739"/>
          <w:sz w:val="24"/>
        </w:rPr>
        <w:t>Para ser colocada en el portal de Transparen</w:t>
      </w:r>
      <w:r w:rsidR="00BC5695" w:rsidRPr="00FA78E7">
        <w:rPr>
          <w:rFonts w:ascii="Museo Sans 100" w:hAnsi="Museo Sans 100" w:cstheme="majorHAnsi"/>
          <w:color w:val="383739"/>
          <w:sz w:val="24"/>
        </w:rPr>
        <w:t>cia</w:t>
      </w:r>
      <w:r w:rsidRPr="00FA78E7">
        <w:rPr>
          <w:rFonts w:ascii="Museo Sans 100" w:hAnsi="Museo Sans 100" w:cstheme="majorHAnsi"/>
          <w:color w:val="383739"/>
          <w:sz w:val="24"/>
        </w:rPr>
        <w:t xml:space="preserve">, sección Información Oficiosa se emite la presente </w:t>
      </w:r>
      <w:r w:rsidR="00BC5695" w:rsidRPr="00FA78E7">
        <w:rPr>
          <w:rFonts w:ascii="Museo Sans 100" w:hAnsi="Museo Sans 100" w:cstheme="majorHAnsi"/>
          <w:color w:val="383739"/>
          <w:sz w:val="24"/>
        </w:rPr>
        <w:t>D</w:t>
      </w:r>
      <w:r w:rsidRPr="00FA78E7">
        <w:rPr>
          <w:rFonts w:ascii="Museo Sans 100" w:hAnsi="Museo Sans 100" w:cstheme="majorHAnsi"/>
          <w:color w:val="383739"/>
          <w:sz w:val="24"/>
        </w:rPr>
        <w:t xml:space="preserve">eclaratoria de </w:t>
      </w:r>
      <w:r w:rsidR="00BC5695" w:rsidRPr="00FA78E7">
        <w:rPr>
          <w:rFonts w:ascii="Museo Sans 100" w:hAnsi="Museo Sans 100" w:cstheme="majorHAnsi"/>
          <w:color w:val="383739"/>
          <w:sz w:val="24"/>
        </w:rPr>
        <w:t>I</w:t>
      </w:r>
      <w:r w:rsidRPr="00FA78E7">
        <w:rPr>
          <w:rFonts w:ascii="Museo Sans 100" w:hAnsi="Museo Sans 100" w:cstheme="majorHAnsi"/>
          <w:color w:val="383739"/>
          <w:sz w:val="24"/>
        </w:rPr>
        <w:t xml:space="preserve">nexistencia </w:t>
      </w:r>
      <w:r w:rsidR="00C178AC" w:rsidRPr="00FA78E7">
        <w:rPr>
          <w:rFonts w:ascii="Museo Sans 100" w:hAnsi="Museo Sans 100" w:cstheme="majorHAnsi"/>
          <w:color w:val="383739"/>
          <w:sz w:val="24"/>
        </w:rPr>
        <w:t xml:space="preserve">en el </w:t>
      </w:r>
      <w:r w:rsidR="007D21C2" w:rsidRPr="00FA78E7">
        <w:rPr>
          <w:rFonts w:ascii="Museo Sans 100" w:hAnsi="Museo Sans 100" w:cstheme="majorHAnsi"/>
          <w:color w:val="383739"/>
          <w:sz w:val="24"/>
        </w:rPr>
        <w:t xml:space="preserve">mes de </w:t>
      </w:r>
      <w:r w:rsidR="00FA78E7">
        <w:rPr>
          <w:rFonts w:ascii="Museo Sans 100" w:hAnsi="Museo Sans 100" w:cstheme="majorHAnsi"/>
          <w:color w:val="383739"/>
          <w:sz w:val="24"/>
        </w:rPr>
        <w:t>diciembre</w:t>
      </w:r>
      <w:r w:rsidR="00C178AC" w:rsidRPr="00FA78E7">
        <w:rPr>
          <w:rFonts w:ascii="Museo Sans 100" w:hAnsi="Museo Sans 100" w:cstheme="majorHAnsi"/>
          <w:color w:val="383739"/>
          <w:sz w:val="24"/>
        </w:rPr>
        <w:t xml:space="preserve"> de 202</w:t>
      </w:r>
      <w:r w:rsidR="00BC5695" w:rsidRPr="00FA78E7">
        <w:rPr>
          <w:rFonts w:ascii="Museo Sans 100" w:hAnsi="Museo Sans 100" w:cstheme="majorHAnsi"/>
          <w:color w:val="383739"/>
          <w:sz w:val="24"/>
        </w:rPr>
        <w:t>2</w:t>
      </w:r>
      <w:r w:rsidRPr="00FA78E7">
        <w:rPr>
          <w:rFonts w:ascii="Museo Sans 100" w:hAnsi="Museo Sans 100" w:cstheme="majorHAnsi"/>
          <w:color w:val="383739"/>
          <w:sz w:val="24"/>
        </w:rPr>
        <w:t>, para lo cual firmó en fe de constancia de la inexistencia de la información.</w:t>
      </w:r>
    </w:p>
    <w:p w:rsidR="005410B3" w:rsidRPr="00FA78E7" w:rsidRDefault="00FA78E7" w:rsidP="005410B3">
      <w:pPr>
        <w:jc w:val="both"/>
        <w:rPr>
          <w:rFonts w:ascii="Museo Sans 100" w:hAnsi="Museo Sans 100"/>
          <w:sz w:val="24"/>
          <w:szCs w:val="24"/>
        </w:rPr>
      </w:pPr>
      <w:bookmarkStart w:id="0" w:name="_GoBack"/>
      <w:bookmarkEnd w:id="0"/>
      <w:r w:rsidRPr="00FA78E7">
        <w:rPr>
          <w:rFonts w:ascii="Museo Sans 100" w:hAnsi="Museo Sans 100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2153770</wp:posOffset>
            </wp:positionH>
            <wp:positionV relativeFrom="paragraph">
              <wp:posOffset>34279</wp:posOffset>
            </wp:positionV>
            <wp:extent cx="2158153" cy="1600133"/>
            <wp:effectExtent l="38100" t="57150" r="52070" b="577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9474">
                      <a:off x="0" y="0"/>
                      <a:ext cx="2166617" cy="160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90C" w:rsidRDefault="00CF090C" w:rsidP="005410B3">
      <w:pPr>
        <w:jc w:val="both"/>
        <w:rPr>
          <w:rFonts w:ascii="Museo Sans 100" w:hAnsi="Museo Sans 100"/>
          <w:sz w:val="24"/>
          <w:szCs w:val="24"/>
        </w:rPr>
      </w:pPr>
    </w:p>
    <w:p w:rsidR="001A1F7F" w:rsidRPr="00FA78E7" w:rsidRDefault="001A1F7F" w:rsidP="005410B3">
      <w:pPr>
        <w:jc w:val="both"/>
        <w:rPr>
          <w:rFonts w:ascii="Museo Sans 100" w:hAnsi="Museo Sans 100"/>
          <w:sz w:val="24"/>
          <w:szCs w:val="24"/>
        </w:rPr>
      </w:pPr>
    </w:p>
    <w:p w:rsidR="00FA78E7" w:rsidRDefault="00FA78E7" w:rsidP="00BF12CB">
      <w:pPr>
        <w:spacing w:after="0"/>
        <w:jc w:val="center"/>
        <w:rPr>
          <w:rFonts w:ascii="Museo Sans 100" w:hAnsi="Museo Sans 100"/>
          <w:sz w:val="24"/>
          <w:szCs w:val="24"/>
          <w:u w:val="single"/>
        </w:rPr>
      </w:pPr>
    </w:p>
    <w:p w:rsidR="005410B3" w:rsidRPr="00FA78E7" w:rsidRDefault="005410B3" w:rsidP="00BF12CB">
      <w:pPr>
        <w:spacing w:after="0"/>
        <w:jc w:val="center"/>
        <w:rPr>
          <w:rFonts w:ascii="Museo Sans 100" w:hAnsi="Museo Sans 100"/>
          <w:sz w:val="24"/>
          <w:szCs w:val="24"/>
          <w:u w:val="single"/>
        </w:rPr>
      </w:pPr>
      <w:r w:rsidRPr="00FA78E7">
        <w:rPr>
          <w:rFonts w:ascii="Museo Sans 100" w:hAnsi="Museo Sans 100"/>
          <w:sz w:val="24"/>
          <w:szCs w:val="24"/>
          <w:u w:val="single"/>
        </w:rPr>
        <w:t>____________________________</w:t>
      </w:r>
    </w:p>
    <w:p w:rsidR="005410B3" w:rsidRPr="00FA78E7" w:rsidRDefault="00BC5695" w:rsidP="00BF12CB">
      <w:pPr>
        <w:spacing w:after="0" w:line="240" w:lineRule="atLeast"/>
        <w:jc w:val="center"/>
        <w:rPr>
          <w:rFonts w:ascii="Museo Sans 100" w:hAnsi="Museo Sans 100"/>
          <w:sz w:val="24"/>
          <w:szCs w:val="24"/>
        </w:rPr>
      </w:pPr>
      <w:r w:rsidRPr="00FA78E7">
        <w:rPr>
          <w:rFonts w:ascii="Museo Sans 100" w:hAnsi="Museo Sans 100"/>
          <w:sz w:val="24"/>
          <w:szCs w:val="24"/>
        </w:rPr>
        <w:t>Regina Vides de Santamaria</w:t>
      </w:r>
    </w:p>
    <w:p w:rsidR="00CF090C" w:rsidRPr="00FA78E7" w:rsidRDefault="00FA78E7" w:rsidP="00FA78E7">
      <w:pPr>
        <w:spacing w:after="0" w:line="240" w:lineRule="atLeast"/>
        <w:jc w:val="center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>Oficial de Información</w:t>
      </w:r>
    </w:p>
    <w:sectPr w:rsidR="00CF090C" w:rsidRPr="00FA78E7" w:rsidSect="00865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04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FDE" w:rsidRDefault="00DF1FDE" w:rsidP="00DF1FDE">
      <w:pPr>
        <w:spacing w:after="0" w:line="240" w:lineRule="auto"/>
      </w:pPr>
      <w:r>
        <w:separator/>
      </w:r>
    </w:p>
  </w:endnote>
  <w:endnote w:type="continuationSeparator" w:id="0">
    <w:p w:rsidR="00DF1FDE" w:rsidRDefault="00DF1FDE" w:rsidP="00DF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*Calibri-Bold-472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4D" w:rsidRDefault="00CB0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8E7" w:rsidRPr="00FA78E7" w:rsidRDefault="00FA78E7" w:rsidP="00FA78E7">
    <w:pPr>
      <w:spacing w:after="0" w:line="240" w:lineRule="atLeast"/>
      <w:jc w:val="center"/>
      <w:rPr>
        <w:rFonts w:ascii="Museo Sans 100" w:hAnsi="Museo Sans 100"/>
        <w:sz w:val="18"/>
        <w:szCs w:val="18"/>
      </w:rPr>
    </w:pPr>
    <w:r>
      <w:tab/>
    </w:r>
    <w:r w:rsidRPr="00FA78E7">
      <w:rPr>
        <w:rFonts w:ascii="Museo Sans 100" w:hAnsi="Museo Sans 100"/>
        <w:sz w:val="18"/>
        <w:szCs w:val="18"/>
        <w:lang w:val="es-ES"/>
      </w:rPr>
      <w:t>UNIDAD DE ACCESO A LA INFORMACIÓN PUBLICA</w:t>
    </w:r>
  </w:p>
  <w:p w:rsidR="00FA78E7" w:rsidRPr="00FA78E7" w:rsidRDefault="001623EC" w:rsidP="00FA78E7">
    <w:pPr>
      <w:spacing w:after="0" w:line="240" w:lineRule="atLeast"/>
      <w:jc w:val="center"/>
      <w:rPr>
        <w:rFonts w:ascii="Museo Sans 100" w:hAnsi="Museo Sans 100"/>
        <w:sz w:val="18"/>
        <w:szCs w:val="18"/>
      </w:rPr>
    </w:pPr>
    <w:hyperlink r:id="rId1" w:history="1">
      <w:r w:rsidR="00FA78E7" w:rsidRPr="00FA78E7">
        <w:rPr>
          <w:rStyle w:val="Hipervnculo"/>
          <w:rFonts w:ascii="Museo Sans 100" w:hAnsi="Museo Sans 100"/>
          <w:sz w:val="18"/>
          <w:szCs w:val="18"/>
        </w:rPr>
        <w:t>oficialdeinformacion@fosep.gob.sv</w:t>
      </w:r>
    </w:hyperlink>
  </w:p>
  <w:p w:rsidR="00FA78E7" w:rsidRDefault="00FA78E7" w:rsidP="00FA78E7">
    <w:pPr>
      <w:pStyle w:val="Piedepgina"/>
      <w:tabs>
        <w:tab w:val="clear" w:pos="4419"/>
        <w:tab w:val="clear" w:pos="8838"/>
        <w:tab w:val="left" w:pos="378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4D" w:rsidRDefault="00CB0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FDE" w:rsidRDefault="00DF1FDE" w:rsidP="00DF1FDE">
      <w:pPr>
        <w:spacing w:after="0" w:line="240" w:lineRule="auto"/>
      </w:pPr>
      <w:r>
        <w:separator/>
      </w:r>
    </w:p>
  </w:footnote>
  <w:footnote w:type="continuationSeparator" w:id="0">
    <w:p w:rsidR="00DF1FDE" w:rsidRDefault="00DF1FDE" w:rsidP="00DF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4D" w:rsidRDefault="00CB0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35" w:type="dxa"/>
      <w:tblLook w:val="04A0" w:firstRow="1" w:lastRow="0" w:firstColumn="1" w:lastColumn="0" w:noHBand="0" w:noVBand="1"/>
    </w:tblPr>
    <w:tblGrid>
      <w:gridCol w:w="1715"/>
      <w:gridCol w:w="6664"/>
      <w:gridCol w:w="1956"/>
    </w:tblGrid>
    <w:tr w:rsidR="00FA78E7" w:rsidTr="001A1F7F">
      <w:trPr>
        <w:trHeight w:val="1338"/>
      </w:trPr>
      <w:tc>
        <w:tcPr>
          <w:tcW w:w="1715" w:type="dxa"/>
        </w:tcPr>
        <w:p w:rsidR="00DF1FDE" w:rsidRPr="00773502" w:rsidRDefault="00FA78E7" w:rsidP="00DF1FDE">
          <w:pPr>
            <w:pStyle w:val="Encabezado"/>
            <w:rPr>
              <w:b/>
            </w:rPr>
          </w:pPr>
          <w:r>
            <w:rPr>
              <w:b/>
              <w:noProof/>
              <w:sz w:val="28"/>
              <w:lang w:eastAsia="es-SV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180975</wp:posOffset>
                </wp:positionV>
                <wp:extent cx="899160" cy="752475"/>
                <wp:effectExtent l="0" t="0" r="0" b="9525"/>
                <wp:wrapSquare wrapText="bothSides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OSEP_Logo FINAL-2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557" b="18203"/>
                        <a:stretch/>
                      </pic:blipFill>
                      <pic:spPr bwMode="auto">
                        <a:xfrm>
                          <a:off x="0" y="0"/>
                          <a:ext cx="899160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4" w:type="dxa"/>
          <w:vAlign w:val="center"/>
        </w:tcPr>
        <w:p w:rsidR="00DF1FDE" w:rsidRPr="00FA78E7" w:rsidRDefault="00FA78E7" w:rsidP="00FA78E7">
          <w:pPr>
            <w:pStyle w:val="Encabezado"/>
            <w:tabs>
              <w:tab w:val="clear" w:pos="4419"/>
              <w:tab w:val="center" w:pos="4577"/>
            </w:tabs>
            <w:ind w:right="-29"/>
            <w:rPr>
              <w:rFonts w:ascii="Museo Sans 100" w:hAnsi="Museo Sans 100"/>
              <w:b/>
              <w:sz w:val="28"/>
            </w:rPr>
          </w:pPr>
          <w:r w:rsidRPr="00FA78E7">
            <w:rPr>
              <w:rFonts w:ascii="Museo Sans 100" w:hAnsi="Museo Sans 100"/>
              <w:b/>
            </w:rPr>
            <w:t>FON</w:t>
          </w:r>
          <w:r>
            <w:rPr>
              <w:rFonts w:ascii="Museo Sans 100" w:hAnsi="Museo Sans 100"/>
              <w:b/>
            </w:rPr>
            <w:t xml:space="preserve">DO SALVADOREÑO PARA ESTUDIOS DE </w:t>
          </w:r>
          <w:r w:rsidRPr="00FA78E7">
            <w:rPr>
              <w:rFonts w:ascii="Museo Sans 100" w:hAnsi="Museo Sans 100"/>
              <w:b/>
            </w:rPr>
            <w:t>PREINVERSIÓN</w:t>
          </w:r>
        </w:p>
        <w:p w:rsidR="0056525D" w:rsidRPr="00FA78E7" w:rsidRDefault="0056525D" w:rsidP="003E56FF">
          <w:pPr>
            <w:spacing w:after="0"/>
            <w:jc w:val="center"/>
            <w:rPr>
              <w:rFonts w:ascii="Museo Sans 100" w:hAnsi="Museo Sans 100"/>
            </w:rPr>
          </w:pPr>
          <w:r w:rsidRPr="00FA78E7">
            <w:rPr>
              <w:rFonts w:ascii="Museo Sans 100" w:hAnsi="Museo Sans 100"/>
              <w:sz w:val="15"/>
              <w:szCs w:val="15"/>
            </w:rPr>
            <w:t xml:space="preserve">Boulevard del </w:t>
          </w:r>
          <w:r w:rsidR="00FC029E" w:rsidRPr="00FA78E7">
            <w:rPr>
              <w:rFonts w:ascii="Museo Sans 100" w:hAnsi="Museo Sans 100"/>
              <w:sz w:val="15"/>
              <w:szCs w:val="15"/>
            </w:rPr>
            <w:t>Hipódromo</w:t>
          </w:r>
          <w:r w:rsidRPr="00FA78E7">
            <w:rPr>
              <w:rFonts w:ascii="Museo Sans 100" w:hAnsi="Museo Sans 100"/>
              <w:sz w:val="15"/>
              <w:szCs w:val="15"/>
            </w:rPr>
            <w:t>, #544, Colonia San Benito, San Salvador</w:t>
          </w:r>
        </w:p>
        <w:p w:rsidR="0056525D" w:rsidRPr="00FA78E7" w:rsidRDefault="0056525D" w:rsidP="003E56FF">
          <w:pPr>
            <w:spacing w:after="0"/>
            <w:jc w:val="center"/>
            <w:rPr>
              <w:rFonts w:ascii="Museo Sans 100" w:hAnsi="Museo Sans 100"/>
              <w:sz w:val="15"/>
              <w:szCs w:val="15"/>
            </w:rPr>
          </w:pPr>
          <w:r w:rsidRPr="00FA78E7">
            <w:rPr>
              <w:rFonts w:ascii="Museo Sans 100" w:hAnsi="Museo Sans 100"/>
              <w:sz w:val="15"/>
              <w:szCs w:val="15"/>
            </w:rPr>
            <w:t>PBX (503) 2263-7929, 2264-5557 FAX: (503) 2263-8076</w:t>
          </w:r>
        </w:p>
        <w:p w:rsidR="0056525D" w:rsidRPr="00BC5695" w:rsidRDefault="0056525D" w:rsidP="003E56FF">
          <w:pPr>
            <w:spacing w:after="0"/>
            <w:jc w:val="center"/>
            <w:rPr>
              <w:rFonts w:ascii="Bahnschrift SemiCondensed" w:hAnsi="Bahnschrift SemiCondensed"/>
              <w:sz w:val="15"/>
              <w:szCs w:val="15"/>
            </w:rPr>
          </w:pPr>
          <w:r w:rsidRPr="00FA78E7">
            <w:rPr>
              <w:rFonts w:ascii="Museo Sans 100" w:hAnsi="Museo Sans 100"/>
              <w:sz w:val="15"/>
              <w:szCs w:val="15"/>
            </w:rPr>
            <w:t>E-mail: fosep@fosep.gob.sv</w:t>
          </w:r>
        </w:p>
      </w:tc>
      <w:tc>
        <w:tcPr>
          <w:tcW w:w="1956" w:type="dxa"/>
        </w:tcPr>
        <w:p w:rsidR="00DF1FDE" w:rsidRPr="001A1F7F" w:rsidRDefault="00CB0C4D" w:rsidP="001A1F7F">
          <w:pPr>
            <w:pStyle w:val="Encabezado"/>
            <w:rPr>
              <w:rFonts w:ascii="Bahnschrift SemiCondensed" w:hAnsi="Bahnschrift SemiCondensed"/>
            </w:rPr>
          </w:pPr>
          <w:r w:rsidRPr="005814A8">
            <w:rPr>
              <w:rFonts w:ascii="Museo Sans 100" w:hAnsi="Museo Sans 100" w:cs="Calibri"/>
              <w:b/>
              <w:bCs/>
              <w:noProof/>
              <w:lang w:eastAsia="es-SV"/>
            </w:rPr>
            <w:drawing>
              <wp:anchor distT="0" distB="0" distL="114300" distR="114300" simplePos="0" relativeHeight="251664384" behindDoc="0" locked="0" layoutInCell="1" allowOverlap="1" wp14:anchorId="46303D5E" wp14:editId="43AF0C53">
                <wp:simplePos x="0" y="0"/>
                <wp:positionH relativeFrom="column">
                  <wp:posOffset>88900</wp:posOffset>
                </wp:positionH>
                <wp:positionV relativeFrom="paragraph">
                  <wp:posOffset>22860</wp:posOffset>
                </wp:positionV>
                <wp:extent cx="990600" cy="990600"/>
                <wp:effectExtent l="0" t="0" r="0" b="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obierno de el salvador_Mesa de trabajo 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F1FDE" w:rsidRDefault="00DF1F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4D" w:rsidRDefault="00CB0C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B3"/>
    <w:rsid w:val="000704E0"/>
    <w:rsid w:val="000E01AB"/>
    <w:rsid w:val="000E3F28"/>
    <w:rsid w:val="000E4D71"/>
    <w:rsid w:val="00106160"/>
    <w:rsid w:val="001271A9"/>
    <w:rsid w:val="001340DD"/>
    <w:rsid w:val="001471C4"/>
    <w:rsid w:val="001623EC"/>
    <w:rsid w:val="001A1F7F"/>
    <w:rsid w:val="001A33A8"/>
    <w:rsid w:val="001C06FE"/>
    <w:rsid w:val="001E6114"/>
    <w:rsid w:val="002473C5"/>
    <w:rsid w:val="002672A4"/>
    <w:rsid w:val="003237FE"/>
    <w:rsid w:val="00384E5A"/>
    <w:rsid w:val="00391501"/>
    <w:rsid w:val="003B25E0"/>
    <w:rsid w:val="003D2047"/>
    <w:rsid w:val="003E49B1"/>
    <w:rsid w:val="003E56FF"/>
    <w:rsid w:val="003F31A9"/>
    <w:rsid w:val="004120A7"/>
    <w:rsid w:val="00440AD1"/>
    <w:rsid w:val="0046479C"/>
    <w:rsid w:val="004E3C6A"/>
    <w:rsid w:val="004F5BC6"/>
    <w:rsid w:val="00502763"/>
    <w:rsid w:val="00532849"/>
    <w:rsid w:val="005410B3"/>
    <w:rsid w:val="0056525D"/>
    <w:rsid w:val="005C0A64"/>
    <w:rsid w:val="006552ED"/>
    <w:rsid w:val="0067196C"/>
    <w:rsid w:val="006E2194"/>
    <w:rsid w:val="006E7601"/>
    <w:rsid w:val="00710BF6"/>
    <w:rsid w:val="007711B1"/>
    <w:rsid w:val="0079063F"/>
    <w:rsid w:val="00797812"/>
    <w:rsid w:val="007D21C2"/>
    <w:rsid w:val="007E0AAF"/>
    <w:rsid w:val="00816CAC"/>
    <w:rsid w:val="00865BC0"/>
    <w:rsid w:val="008715E4"/>
    <w:rsid w:val="008925B4"/>
    <w:rsid w:val="008A3F35"/>
    <w:rsid w:val="008A587A"/>
    <w:rsid w:val="008E01A3"/>
    <w:rsid w:val="00952157"/>
    <w:rsid w:val="00956AFF"/>
    <w:rsid w:val="00967FB3"/>
    <w:rsid w:val="009725E1"/>
    <w:rsid w:val="009B731D"/>
    <w:rsid w:val="009D13C6"/>
    <w:rsid w:val="009D3C3C"/>
    <w:rsid w:val="00A02ABF"/>
    <w:rsid w:val="00A21AED"/>
    <w:rsid w:val="00A43B7E"/>
    <w:rsid w:val="00A724BE"/>
    <w:rsid w:val="00A85194"/>
    <w:rsid w:val="00AE7EED"/>
    <w:rsid w:val="00AF1F0E"/>
    <w:rsid w:val="00B565EF"/>
    <w:rsid w:val="00B623D4"/>
    <w:rsid w:val="00B9333C"/>
    <w:rsid w:val="00BB0A52"/>
    <w:rsid w:val="00BB0FE9"/>
    <w:rsid w:val="00BC2E33"/>
    <w:rsid w:val="00BC5695"/>
    <w:rsid w:val="00BF12CB"/>
    <w:rsid w:val="00BF3EF8"/>
    <w:rsid w:val="00BF7404"/>
    <w:rsid w:val="00C178AC"/>
    <w:rsid w:val="00C23084"/>
    <w:rsid w:val="00C81A05"/>
    <w:rsid w:val="00CB0C4D"/>
    <w:rsid w:val="00CC5B7E"/>
    <w:rsid w:val="00CD2054"/>
    <w:rsid w:val="00CF090C"/>
    <w:rsid w:val="00D03532"/>
    <w:rsid w:val="00D27168"/>
    <w:rsid w:val="00DE180E"/>
    <w:rsid w:val="00DF1FDE"/>
    <w:rsid w:val="00E10A50"/>
    <w:rsid w:val="00EF23BE"/>
    <w:rsid w:val="00EF426D"/>
    <w:rsid w:val="00F03534"/>
    <w:rsid w:val="00F6596B"/>
    <w:rsid w:val="00F70154"/>
    <w:rsid w:val="00F85EA9"/>
    <w:rsid w:val="00FA78E7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63FDA607"/>
  <w15:chartTrackingRefBased/>
  <w15:docId w15:val="{9D92CE55-DC3B-444D-8FA0-293D54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10B3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rsid w:val="005410B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10B3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5B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1F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FDE"/>
  </w:style>
  <w:style w:type="table" w:styleId="Tablaconcuadrcula">
    <w:name w:val="Table Grid"/>
    <w:basedOn w:val="Tablanormal"/>
    <w:uiPriority w:val="39"/>
    <w:rsid w:val="00DF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C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icialdeinformacion@fosep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D3444-49D6-4C8E-AB1F-3F48AF3A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Mendez</dc:creator>
  <cp:keywords/>
  <dc:description/>
  <cp:lastModifiedBy>Regina Vides de Santamaria</cp:lastModifiedBy>
  <cp:revision>2</cp:revision>
  <cp:lastPrinted>2021-04-12T21:12:00Z</cp:lastPrinted>
  <dcterms:created xsi:type="dcterms:W3CDTF">2023-01-12T17:26:00Z</dcterms:created>
  <dcterms:modified xsi:type="dcterms:W3CDTF">2023-01-12T17:26:00Z</dcterms:modified>
</cp:coreProperties>
</file>