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7FE" w:rsidRDefault="0087634F" w:rsidP="008027FE">
      <w:pPr>
        <w:pStyle w:val="MARNparrafo"/>
        <w:jc w:val="center"/>
        <w:rPr>
          <w:rFonts w:eastAsiaTheme="majorEastAsia"/>
          <w:bCs/>
          <w:color w:val="1F4E79" w:themeColor="accent1" w:themeShade="80"/>
          <w:sz w:val="26"/>
          <w:szCs w:val="26"/>
          <w:lang w:val="es-SV" w:eastAsia="es-SV"/>
        </w:rPr>
      </w:pPr>
      <w:r w:rsidRPr="0087634F">
        <w:rPr>
          <w:b/>
          <w:color w:val="1F3864" w:themeColor="accent5" w:themeShade="80"/>
          <w:sz w:val="36"/>
        </w:rPr>
        <w:t xml:space="preserve">Mecanismos </w:t>
      </w:r>
      <w:r w:rsidR="004B7B70" w:rsidRPr="0087634F">
        <w:rPr>
          <w:rFonts w:eastAsiaTheme="majorEastAsia"/>
          <w:b/>
          <w:bCs/>
          <w:color w:val="1F4E79" w:themeColor="accent1" w:themeShade="80"/>
          <w:sz w:val="40"/>
          <w:szCs w:val="26"/>
          <w:lang w:val="es-SV" w:eastAsia="es-SV"/>
        </w:rPr>
        <w:t>de participación ciudadana</w:t>
      </w:r>
      <w:r w:rsidR="008027FE">
        <w:rPr>
          <w:rFonts w:eastAsiaTheme="majorEastAsia"/>
          <w:bCs/>
          <w:color w:val="1F4E79" w:themeColor="accent1" w:themeShade="80"/>
          <w:sz w:val="26"/>
          <w:szCs w:val="26"/>
          <w:lang w:val="es-SV" w:eastAsia="es-SV"/>
        </w:rPr>
        <w:t xml:space="preserve"> </w:t>
      </w:r>
    </w:p>
    <w:p w:rsidR="004B7B70" w:rsidRDefault="008027FE" w:rsidP="008027FE">
      <w:pPr>
        <w:pStyle w:val="MARNparrafo"/>
        <w:jc w:val="center"/>
        <w:rPr>
          <w:rFonts w:eastAsiaTheme="majorEastAsia"/>
          <w:bCs/>
          <w:color w:val="1F4E79" w:themeColor="accent1" w:themeShade="80"/>
          <w:sz w:val="26"/>
          <w:szCs w:val="26"/>
          <w:lang w:val="es-SV" w:eastAsia="es-SV"/>
        </w:rPr>
      </w:pPr>
      <w:r>
        <w:rPr>
          <w:rFonts w:eastAsiaTheme="majorEastAsia"/>
          <w:bCs/>
          <w:color w:val="1F4E79" w:themeColor="accent1" w:themeShade="80"/>
          <w:sz w:val="26"/>
          <w:szCs w:val="26"/>
          <w:lang w:val="es-SV" w:eastAsia="es-SV"/>
        </w:rPr>
        <w:t>(Actualización a noviembre 2015)</w:t>
      </w:r>
    </w:p>
    <w:p w:rsidR="004B7B70" w:rsidRPr="0087634F" w:rsidRDefault="004B7B70" w:rsidP="004B7B70">
      <w:pPr>
        <w:pStyle w:val="MARNparrafo"/>
        <w:rPr>
          <w:b/>
        </w:rPr>
      </w:pPr>
    </w:p>
    <w:p w:rsidR="0087634F" w:rsidRPr="008E2640" w:rsidRDefault="0087634F" w:rsidP="008E2640">
      <w:pPr>
        <w:pStyle w:val="MARNparrafo"/>
        <w:spacing w:after="0"/>
        <w:jc w:val="center"/>
        <w:rPr>
          <w:rFonts w:ascii="Arial" w:hAnsi="Arial" w:cs="Arial"/>
          <w:b/>
        </w:rPr>
      </w:pPr>
    </w:p>
    <w:tbl>
      <w:tblPr>
        <w:tblStyle w:val="Tablaconcuadrcula"/>
        <w:tblW w:w="0" w:type="auto"/>
        <w:tblLayout w:type="fixed"/>
        <w:tblLook w:val="04A0" w:firstRow="1" w:lastRow="0" w:firstColumn="1" w:lastColumn="0" w:noHBand="0" w:noVBand="1"/>
      </w:tblPr>
      <w:tblGrid>
        <w:gridCol w:w="2830"/>
        <w:gridCol w:w="3969"/>
        <w:gridCol w:w="2523"/>
        <w:gridCol w:w="3289"/>
      </w:tblGrid>
      <w:tr w:rsidR="0087634F" w:rsidRPr="008E2640" w:rsidTr="00CF7C2E">
        <w:trPr>
          <w:trHeight w:val="622"/>
        </w:trPr>
        <w:tc>
          <w:tcPr>
            <w:tcW w:w="2830" w:type="dxa"/>
          </w:tcPr>
          <w:p w:rsidR="008E2640" w:rsidRDefault="008E2640" w:rsidP="008E2640">
            <w:pPr>
              <w:pStyle w:val="MARNparrafo"/>
              <w:spacing w:after="0"/>
              <w:jc w:val="center"/>
              <w:rPr>
                <w:rFonts w:ascii="Arial" w:hAnsi="Arial" w:cs="Arial"/>
                <w:b/>
              </w:rPr>
            </w:pPr>
          </w:p>
          <w:p w:rsidR="0087634F" w:rsidRPr="008E2640" w:rsidRDefault="0087634F" w:rsidP="008E2640">
            <w:pPr>
              <w:pStyle w:val="MARNparrafo"/>
              <w:spacing w:after="0"/>
              <w:jc w:val="center"/>
              <w:rPr>
                <w:rFonts w:ascii="Arial" w:hAnsi="Arial" w:cs="Arial"/>
                <w:b/>
              </w:rPr>
            </w:pPr>
            <w:r w:rsidRPr="008E2640">
              <w:rPr>
                <w:rFonts w:ascii="Arial" w:hAnsi="Arial" w:cs="Arial"/>
                <w:b/>
              </w:rPr>
              <w:t>Mecanismo</w:t>
            </w:r>
          </w:p>
        </w:tc>
        <w:tc>
          <w:tcPr>
            <w:tcW w:w="3969" w:type="dxa"/>
          </w:tcPr>
          <w:p w:rsidR="008E2640" w:rsidRDefault="008E2640" w:rsidP="008E2640">
            <w:pPr>
              <w:pStyle w:val="MARNparrafo"/>
              <w:spacing w:after="0"/>
              <w:jc w:val="center"/>
              <w:rPr>
                <w:rFonts w:ascii="Arial" w:hAnsi="Arial" w:cs="Arial"/>
                <w:b/>
              </w:rPr>
            </w:pPr>
          </w:p>
          <w:p w:rsidR="0087634F" w:rsidRPr="008E2640" w:rsidRDefault="0087634F" w:rsidP="008E2640">
            <w:pPr>
              <w:pStyle w:val="MARNparrafo"/>
              <w:spacing w:after="0"/>
              <w:jc w:val="center"/>
              <w:rPr>
                <w:rFonts w:ascii="Arial" w:hAnsi="Arial" w:cs="Arial"/>
                <w:b/>
              </w:rPr>
            </w:pPr>
            <w:r w:rsidRPr="008E2640">
              <w:rPr>
                <w:rFonts w:ascii="Arial" w:hAnsi="Arial" w:cs="Arial"/>
                <w:b/>
              </w:rPr>
              <w:t>Descripción</w:t>
            </w:r>
          </w:p>
        </w:tc>
        <w:tc>
          <w:tcPr>
            <w:tcW w:w="2523" w:type="dxa"/>
          </w:tcPr>
          <w:p w:rsidR="008E2640" w:rsidRDefault="008E2640" w:rsidP="008E2640">
            <w:pPr>
              <w:pStyle w:val="MARNparrafo"/>
              <w:spacing w:after="0"/>
              <w:jc w:val="center"/>
              <w:rPr>
                <w:rFonts w:ascii="Arial" w:hAnsi="Arial" w:cs="Arial"/>
                <w:b/>
              </w:rPr>
            </w:pPr>
          </w:p>
          <w:p w:rsidR="0087634F" w:rsidRPr="008E2640" w:rsidRDefault="0087634F" w:rsidP="008E2640">
            <w:pPr>
              <w:pStyle w:val="MARNparrafo"/>
              <w:spacing w:after="0"/>
              <w:jc w:val="center"/>
              <w:rPr>
                <w:rFonts w:ascii="Arial" w:hAnsi="Arial" w:cs="Arial"/>
                <w:b/>
              </w:rPr>
            </w:pPr>
            <w:r w:rsidRPr="008E2640">
              <w:rPr>
                <w:rFonts w:ascii="Arial" w:hAnsi="Arial" w:cs="Arial"/>
                <w:b/>
              </w:rPr>
              <w:t>Objetivo</w:t>
            </w:r>
          </w:p>
        </w:tc>
        <w:tc>
          <w:tcPr>
            <w:tcW w:w="3289" w:type="dxa"/>
          </w:tcPr>
          <w:p w:rsidR="0087634F" w:rsidRPr="008E2640" w:rsidRDefault="0087634F" w:rsidP="008E2640">
            <w:pPr>
              <w:pStyle w:val="MARNparrafo"/>
              <w:spacing w:after="0"/>
              <w:jc w:val="center"/>
              <w:rPr>
                <w:rFonts w:ascii="Arial" w:hAnsi="Arial" w:cs="Arial"/>
                <w:b/>
              </w:rPr>
            </w:pPr>
            <w:r w:rsidRPr="008E2640">
              <w:rPr>
                <w:rFonts w:ascii="Arial" w:hAnsi="Arial" w:cs="Arial"/>
                <w:b/>
              </w:rPr>
              <w:t>Requisi</w:t>
            </w:r>
            <w:r w:rsidR="00387AE4" w:rsidRPr="008E2640">
              <w:rPr>
                <w:rFonts w:ascii="Arial" w:hAnsi="Arial" w:cs="Arial"/>
                <w:b/>
              </w:rPr>
              <w:t>tos de participación</w:t>
            </w:r>
          </w:p>
        </w:tc>
      </w:tr>
      <w:tr w:rsidR="0087634F" w:rsidTr="00CF7C2E">
        <w:tc>
          <w:tcPr>
            <w:tcW w:w="2830" w:type="dxa"/>
          </w:tcPr>
          <w:p w:rsidR="0087634F" w:rsidRPr="004A2C8A" w:rsidRDefault="0087634F" w:rsidP="004A2C8A">
            <w:pPr>
              <w:pStyle w:val="MARNparrafo"/>
              <w:spacing w:after="0"/>
              <w:rPr>
                <w:rFonts w:ascii="Arial" w:hAnsi="Arial" w:cs="Arial"/>
              </w:rPr>
            </w:pPr>
            <w:r w:rsidRPr="004A2C8A">
              <w:rPr>
                <w:rFonts w:ascii="Arial" w:hAnsi="Arial" w:cs="Arial"/>
              </w:rPr>
              <w:t>Reuniones de información y consulta</w:t>
            </w:r>
          </w:p>
          <w:p w:rsidR="0087634F" w:rsidRPr="008E2640" w:rsidRDefault="0087634F" w:rsidP="004B7B70">
            <w:pPr>
              <w:pStyle w:val="MARNparrafo"/>
              <w:spacing w:after="0"/>
              <w:rPr>
                <w:rFonts w:asciiTheme="minorHAnsi" w:hAnsiTheme="minorHAnsi" w:cstheme="minorBidi"/>
                <w:color w:val="auto"/>
                <w:lang w:val="es-SV"/>
              </w:rPr>
            </w:pPr>
          </w:p>
        </w:tc>
        <w:tc>
          <w:tcPr>
            <w:tcW w:w="3969" w:type="dxa"/>
          </w:tcPr>
          <w:p w:rsidR="00387AE4" w:rsidRPr="008E2640" w:rsidRDefault="00387AE4" w:rsidP="00387AE4">
            <w:pPr>
              <w:pStyle w:val="MARNparrafo"/>
              <w:spacing w:after="0"/>
              <w:rPr>
                <w:rFonts w:asciiTheme="minorHAnsi" w:hAnsiTheme="minorHAnsi" w:cstheme="minorBidi"/>
                <w:color w:val="auto"/>
                <w:lang w:val="es-SV"/>
              </w:rPr>
            </w:pPr>
            <w:r w:rsidRPr="008E2640">
              <w:rPr>
                <w:rFonts w:asciiTheme="minorHAnsi" w:hAnsiTheme="minorHAnsi" w:cstheme="minorBidi"/>
                <w:color w:val="auto"/>
                <w:lang w:val="es-SV"/>
              </w:rPr>
              <w:t xml:space="preserve">De las autoridades del ramo o a quienes ellos deleguen con: alcaldesas y alcaldes, servidores  públicos, representantes de la sociedad civil y otras personas relacionadas con el quehacer institucional. </w:t>
            </w:r>
          </w:p>
          <w:p w:rsidR="00387AE4" w:rsidRPr="008E2640" w:rsidRDefault="00387AE4" w:rsidP="00387AE4">
            <w:pPr>
              <w:pStyle w:val="MARNparrafo"/>
              <w:spacing w:after="0"/>
              <w:rPr>
                <w:rFonts w:asciiTheme="minorHAnsi" w:hAnsiTheme="minorHAnsi" w:cstheme="minorBidi"/>
                <w:color w:val="auto"/>
                <w:lang w:val="es-SV"/>
              </w:rPr>
            </w:pPr>
          </w:p>
          <w:p w:rsidR="0087634F" w:rsidRPr="008E2640" w:rsidRDefault="0087634F" w:rsidP="004B7B70">
            <w:pPr>
              <w:pStyle w:val="MARNparrafo"/>
              <w:spacing w:after="0"/>
              <w:rPr>
                <w:rFonts w:asciiTheme="minorHAnsi" w:hAnsiTheme="minorHAnsi" w:cstheme="minorBidi"/>
                <w:color w:val="auto"/>
                <w:lang w:val="es-SV"/>
              </w:rPr>
            </w:pPr>
          </w:p>
        </w:tc>
        <w:tc>
          <w:tcPr>
            <w:tcW w:w="2523" w:type="dxa"/>
          </w:tcPr>
          <w:p w:rsidR="00387AE4" w:rsidRPr="008E2640" w:rsidRDefault="00387AE4" w:rsidP="004B7B70">
            <w:pPr>
              <w:pStyle w:val="MARNparrafo"/>
              <w:spacing w:after="0"/>
              <w:rPr>
                <w:rFonts w:asciiTheme="minorHAnsi" w:hAnsiTheme="minorHAnsi" w:cstheme="minorBidi"/>
                <w:color w:val="auto"/>
                <w:lang w:val="es-SV"/>
              </w:rPr>
            </w:pPr>
            <w:r w:rsidRPr="008E2640">
              <w:rPr>
                <w:rFonts w:asciiTheme="minorHAnsi" w:hAnsiTheme="minorHAnsi" w:cstheme="minorBidi"/>
                <w:color w:val="auto"/>
                <w:lang w:val="es-SV"/>
              </w:rPr>
              <w:t>Que los entes interesados expongan a los titulares o a sus delegados, las diferentes inquietudes, propuestas, consultas y demás aspectos vinculados a la problemática ambiental de su sector y o comunidad.</w:t>
            </w:r>
          </w:p>
        </w:tc>
        <w:tc>
          <w:tcPr>
            <w:tcW w:w="3289" w:type="dxa"/>
          </w:tcPr>
          <w:p w:rsidR="00387AE4" w:rsidRPr="008E2640" w:rsidRDefault="00387AE4" w:rsidP="00387AE4">
            <w:pPr>
              <w:pStyle w:val="MARNparrafo"/>
              <w:spacing w:after="0"/>
              <w:rPr>
                <w:rFonts w:asciiTheme="minorHAnsi" w:hAnsiTheme="minorHAnsi" w:cstheme="minorBidi"/>
                <w:color w:val="auto"/>
                <w:lang w:val="es-SV"/>
              </w:rPr>
            </w:pPr>
            <w:r w:rsidRPr="008E2640">
              <w:rPr>
                <w:rFonts w:asciiTheme="minorHAnsi" w:hAnsiTheme="minorHAnsi" w:cstheme="minorBidi"/>
                <w:color w:val="auto"/>
                <w:lang w:val="es-SV"/>
              </w:rPr>
              <w:t>Realizar las gestiones en el MARN y pedir la reunión a través de correo electrónico, llamada telefónica a las asistentes administrativas o con nota escrita dirigida directamente a los titulares.</w:t>
            </w:r>
          </w:p>
          <w:p w:rsidR="00A10733" w:rsidRPr="008E2640" w:rsidRDefault="00A10733" w:rsidP="00A10733">
            <w:pPr>
              <w:pStyle w:val="MARNparrafo"/>
              <w:spacing w:after="0"/>
              <w:rPr>
                <w:rFonts w:asciiTheme="minorHAnsi" w:hAnsiTheme="minorHAnsi" w:cstheme="minorBidi"/>
                <w:color w:val="auto"/>
                <w:lang w:val="es-SV"/>
              </w:rPr>
            </w:pPr>
            <w:r w:rsidRPr="008E2640">
              <w:rPr>
                <w:rFonts w:asciiTheme="minorHAnsi" w:hAnsiTheme="minorHAnsi" w:cstheme="minorBidi"/>
                <w:color w:val="auto"/>
                <w:lang w:val="es-SV"/>
              </w:rPr>
              <w:t xml:space="preserve">Ministra: </w:t>
            </w:r>
          </w:p>
          <w:p w:rsidR="00A10733" w:rsidRDefault="00A10733" w:rsidP="00A10733">
            <w:pPr>
              <w:pStyle w:val="MARNparrafo"/>
              <w:spacing w:after="0"/>
              <w:rPr>
                <w:rFonts w:asciiTheme="minorHAnsi" w:hAnsiTheme="minorHAnsi" w:cstheme="minorBidi"/>
                <w:color w:val="auto"/>
                <w:lang w:val="es-SV"/>
              </w:rPr>
            </w:pPr>
            <w:r w:rsidRPr="008E2640">
              <w:rPr>
                <w:rFonts w:asciiTheme="minorHAnsi" w:hAnsiTheme="minorHAnsi" w:cstheme="minorBidi"/>
                <w:color w:val="auto"/>
                <w:lang w:val="es-SV"/>
              </w:rPr>
              <w:t>2132-9418</w:t>
            </w:r>
          </w:p>
          <w:p w:rsidR="001C5A66" w:rsidRPr="008E2640" w:rsidRDefault="001C5A66" w:rsidP="00A10733">
            <w:pPr>
              <w:pStyle w:val="MARNparrafo"/>
              <w:spacing w:after="0"/>
              <w:rPr>
                <w:rFonts w:asciiTheme="minorHAnsi" w:hAnsiTheme="minorHAnsi" w:cstheme="minorBidi"/>
                <w:color w:val="auto"/>
                <w:lang w:val="es-SV"/>
              </w:rPr>
            </w:pPr>
            <w:r>
              <w:rPr>
                <w:rFonts w:asciiTheme="minorHAnsi" w:hAnsiTheme="minorHAnsi" w:cstheme="minorBidi"/>
                <w:color w:val="auto"/>
                <w:lang w:val="es-SV"/>
              </w:rPr>
              <w:t>despacho@marn.gob.sv</w:t>
            </w:r>
            <w:bookmarkStart w:id="0" w:name="_GoBack"/>
            <w:bookmarkEnd w:id="0"/>
          </w:p>
          <w:p w:rsidR="00A10733" w:rsidRPr="008E2640" w:rsidRDefault="00A10733" w:rsidP="00A10733">
            <w:pPr>
              <w:pStyle w:val="MARNparrafo"/>
              <w:spacing w:after="0"/>
              <w:rPr>
                <w:rFonts w:asciiTheme="minorHAnsi" w:hAnsiTheme="minorHAnsi" w:cstheme="minorBidi"/>
                <w:color w:val="auto"/>
                <w:lang w:val="es-SV"/>
              </w:rPr>
            </w:pPr>
            <w:r w:rsidRPr="008E2640">
              <w:rPr>
                <w:rFonts w:asciiTheme="minorHAnsi" w:hAnsiTheme="minorHAnsi" w:cstheme="minorBidi"/>
                <w:color w:val="auto"/>
                <w:lang w:val="es-SV"/>
              </w:rPr>
              <w:t>Viceministro:</w:t>
            </w:r>
          </w:p>
          <w:p w:rsidR="00A10733" w:rsidRPr="008E2640" w:rsidRDefault="00A10733" w:rsidP="00A10733">
            <w:pPr>
              <w:pStyle w:val="MARNparrafo"/>
              <w:spacing w:after="0"/>
              <w:rPr>
                <w:rFonts w:asciiTheme="minorHAnsi" w:hAnsiTheme="minorHAnsi" w:cstheme="minorBidi"/>
                <w:color w:val="auto"/>
                <w:lang w:val="es-SV"/>
              </w:rPr>
            </w:pPr>
            <w:r w:rsidRPr="008E2640">
              <w:rPr>
                <w:rFonts w:asciiTheme="minorHAnsi" w:hAnsiTheme="minorHAnsi" w:cstheme="minorBidi"/>
                <w:color w:val="auto"/>
                <w:lang w:val="es-SV"/>
              </w:rPr>
              <w:t>2132-9422</w:t>
            </w:r>
          </w:p>
          <w:p w:rsidR="00A10733" w:rsidRPr="008E2640" w:rsidRDefault="00C844A3" w:rsidP="00A10733">
            <w:pPr>
              <w:pStyle w:val="MARNparrafo"/>
              <w:spacing w:after="0"/>
              <w:rPr>
                <w:rFonts w:asciiTheme="minorHAnsi" w:hAnsiTheme="minorHAnsi" w:cstheme="minorBidi"/>
                <w:color w:val="auto"/>
                <w:lang w:val="es-SV"/>
              </w:rPr>
            </w:pPr>
            <w:hyperlink r:id="rId7" w:history="1">
              <w:r w:rsidR="00A10733" w:rsidRPr="008E2640">
                <w:rPr>
                  <w:rFonts w:asciiTheme="minorHAnsi" w:hAnsiTheme="minorHAnsi" w:cstheme="minorBidi"/>
                  <w:color w:val="auto"/>
                  <w:lang w:val="es-SV"/>
                </w:rPr>
                <w:t>eescobar@manr.gob.sv</w:t>
              </w:r>
            </w:hyperlink>
          </w:p>
          <w:p w:rsidR="00A10733" w:rsidRPr="008E2640" w:rsidRDefault="00A10733" w:rsidP="00A10733">
            <w:pPr>
              <w:pStyle w:val="MARNparrafo"/>
              <w:spacing w:after="0"/>
              <w:rPr>
                <w:rFonts w:asciiTheme="minorHAnsi" w:hAnsiTheme="minorHAnsi" w:cstheme="minorBidi"/>
                <w:color w:val="auto"/>
                <w:lang w:val="es-SV"/>
              </w:rPr>
            </w:pPr>
          </w:p>
        </w:tc>
      </w:tr>
      <w:tr w:rsidR="0087634F" w:rsidTr="00CF7C2E">
        <w:tc>
          <w:tcPr>
            <w:tcW w:w="2830" w:type="dxa"/>
          </w:tcPr>
          <w:p w:rsidR="00A10733" w:rsidRPr="004A2C8A" w:rsidRDefault="00A10733" w:rsidP="00A10733">
            <w:pPr>
              <w:pStyle w:val="MARNparrafo"/>
              <w:spacing w:after="0"/>
              <w:rPr>
                <w:rFonts w:ascii="Arial" w:hAnsi="Arial" w:cs="Arial"/>
              </w:rPr>
            </w:pPr>
            <w:r>
              <w:rPr>
                <w:rFonts w:ascii="Arial" w:hAnsi="Arial" w:cs="Arial"/>
              </w:rPr>
              <w:tab/>
            </w:r>
          </w:p>
          <w:p w:rsidR="00A10733" w:rsidRPr="004A2C8A" w:rsidRDefault="00A10733" w:rsidP="00A10733">
            <w:pPr>
              <w:pStyle w:val="SUBTITULO3"/>
              <w:ind w:firstLine="0"/>
              <w:rPr>
                <w:rFonts w:ascii="Arial" w:hAnsi="Arial" w:cs="Arial"/>
                <w:b w:val="0"/>
              </w:rPr>
            </w:pPr>
            <w:r w:rsidRPr="004A2C8A">
              <w:rPr>
                <w:rFonts w:ascii="Arial" w:hAnsi="Arial" w:cs="Arial"/>
                <w:b w:val="0"/>
              </w:rPr>
              <w:t xml:space="preserve">Consulta pública </w:t>
            </w:r>
          </w:p>
          <w:p w:rsidR="0087634F" w:rsidRDefault="0087634F" w:rsidP="00A10733">
            <w:pPr>
              <w:pStyle w:val="MARNparrafo"/>
              <w:tabs>
                <w:tab w:val="left" w:pos="924"/>
              </w:tabs>
              <w:spacing w:after="0"/>
              <w:rPr>
                <w:rFonts w:ascii="Arial" w:hAnsi="Arial" w:cs="Arial"/>
              </w:rPr>
            </w:pPr>
          </w:p>
        </w:tc>
        <w:tc>
          <w:tcPr>
            <w:tcW w:w="3969" w:type="dxa"/>
          </w:tcPr>
          <w:p w:rsidR="008E2640" w:rsidRDefault="008E2640" w:rsidP="008E2640">
            <w:pPr>
              <w:jc w:val="both"/>
            </w:pPr>
            <w:r>
              <w:t xml:space="preserve">La Ley del Medio Ambiente en su artículo 25 literal b) establece la realización de consultas públicas de los Estudios de Impacto Ambiental de proyectos que reflejen la posibilidad de afectar la calidad de vida de la población y riesgo para el medio ambiente en general, en el o los municipios donde vaya a efectuarse. </w:t>
            </w:r>
          </w:p>
          <w:p w:rsidR="008E2640" w:rsidRDefault="008E2640" w:rsidP="008E2640">
            <w:pPr>
              <w:jc w:val="both"/>
            </w:pPr>
            <w:r>
              <w:t xml:space="preserve">El carácter de la consulta pública determina que las organizaciones de la </w:t>
            </w:r>
            <w:r>
              <w:lastRenderedPageBreak/>
              <w:t>sociedad civil, son actores que participan en la consulta, brindando sus observaciones o inquietudes durante el desarrollo de la misma, siempre que estas estén referidas al proyecto en evaluación</w:t>
            </w:r>
          </w:p>
          <w:p w:rsidR="0087634F" w:rsidRDefault="0087634F" w:rsidP="008E2640">
            <w:pPr>
              <w:pStyle w:val="MARNparrafo"/>
              <w:spacing w:after="0"/>
              <w:rPr>
                <w:rFonts w:ascii="Arial" w:hAnsi="Arial" w:cs="Arial"/>
              </w:rPr>
            </w:pPr>
          </w:p>
        </w:tc>
        <w:tc>
          <w:tcPr>
            <w:tcW w:w="2523" w:type="dxa"/>
          </w:tcPr>
          <w:p w:rsidR="008E2640" w:rsidRDefault="008E2640" w:rsidP="008E2640">
            <w:pPr>
              <w:pStyle w:val="Prrafodelista"/>
              <w:numPr>
                <w:ilvl w:val="0"/>
                <w:numId w:val="2"/>
              </w:numPr>
              <w:spacing w:after="0" w:line="240" w:lineRule="auto"/>
              <w:contextualSpacing w:val="0"/>
            </w:pPr>
            <w:r>
              <w:lastRenderedPageBreak/>
              <w:t>Contribuir a la construcción de una ciudadanía activa social y ambientalmente responsable.</w:t>
            </w:r>
          </w:p>
          <w:p w:rsidR="008E2640" w:rsidRDefault="008E2640" w:rsidP="008E2640">
            <w:pPr>
              <w:pStyle w:val="Prrafodelista"/>
              <w:numPr>
                <w:ilvl w:val="0"/>
                <w:numId w:val="2"/>
              </w:numPr>
              <w:spacing w:after="0" w:line="240" w:lineRule="auto"/>
              <w:contextualSpacing w:val="0"/>
            </w:pPr>
            <w:r>
              <w:t xml:space="preserve">Regular un procedimiento democrático de consulta con el </w:t>
            </w:r>
            <w:r>
              <w:lastRenderedPageBreak/>
              <w:t>objeto de cumplir y hacer cumplir la Ley.</w:t>
            </w:r>
          </w:p>
          <w:p w:rsidR="008E2640" w:rsidRDefault="008E2640" w:rsidP="008E2640">
            <w:pPr>
              <w:pStyle w:val="Prrafodelista"/>
              <w:numPr>
                <w:ilvl w:val="0"/>
                <w:numId w:val="2"/>
              </w:numPr>
              <w:spacing w:after="0" w:line="240" w:lineRule="auto"/>
              <w:contextualSpacing w:val="0"/>
            </w:pPr>
            <w:r>
              <w:t>Promover la transparencia en la gestión pública y privada de los activos ambientales del país.</w:t>
            </w:r>
          </w:p>
          <w:p w:rsidR="008E2640" w:rsidRDefault="008E2640" w:rsidP="008E2640">
            <w:pPr>
              <w:pStyle w:val="Prrafodelista"/>
              <w:numPr>
                <w:ilvl w:val="0"/>
                <w:numId w:val="2"/>
              </w:numPr>
              <w:spacing w:after="0" w:line="240" w:lineRule="auto"/>
              <w:contextualSpacing w:val="0"/>
            </w:pPr>
            <w:r>
              <w:t>Incorporar la opinión pública ciudadana al proceso de Evaluación Ambiental que de elementos para una mejor toma de decisiones.</w:t>
            </w:r>
          </w:p>
          <w:p w:rsidR="0087634F" w:rsidRDefault="0087634F" w:rsidP="004B7B70">
            <w:pPr>
              <w:pStyle w:val="MARNparrafo"/>
              <w:spacing w:after="0"/>
              <w:rPr>
                <w:rFonts w:ascii="Arial" w:hAnsi="Arial" w:cs="Arial"/>
              </w:rPr>
            </w:pPr>
          </w:p>
        </w:tc>
        <w:tc>
          <w:tcPr>
            <w:tcW w:w="3289" w:type="dxa"/>
          </w:tcPr>
          <w:p w:rsidR="008E2640" w:rsidRPr="001373CA" w:rsidRDefault="002B638D" w:rsidP="008E2640">
            <w:pPr>
              <w:pStyle w:val="MARNparrafo"/>
              <w:spacing w:after="0"/>
              <w:rPr>
                <w:rFonts w:asciiTheme="minorHAnsi" w:hAnsiTheme="minorHAnsi" w:cstheme="minorBidi"/>
                <w:color w:val="auto"/>
                <w:lang w:val="es-SV"/>
              </w:rPr>
            </w:pPr>
            <w:r w:rsidRPr="001373CA">
              <w:rPr>
                <w:rFonts w:asciiTheme="minorHAnsi" w:hAnsiTheme="minorHAnsi" w:cstheme="minorBidi"/>
                <w:color w:val="auto"/>
                <w:lang w:val="es-SV"/>
              </w:rPr>
              <w:lastRenderedPageBreak/>
              <w:t xml:space="preserve">Para consulta </w:t>
            </w:r>
            <w:r w:rsidR="001373CA" w:rsidRPr="001373CA">
              <w:rPr>
                <w:rFonts w:asciiTheme="minorHAnsi" w:hAnsiTheme="minorHAnsi" w:cstheme="minorBidi"/>
                <w:color w:val="auto"/>
                <w:lang w:val="es-SV"/>
              </w:rPr>
              <w:t>pública</w:t>
            </w:r>
            <w:r w:rsidRPr="001373CA">
              <w:rPr>
                <w:rFonts w:asciiTheme="minorHAnsi" w:hAnsiTheme="minorHAnsi" w:cstheme="minorBidi"/>
                <w:color w:val="auto"/>
                <w:lang w:val="es-SV"/>
              </w:rPr>
              <w:t xml:space="preserve"> lit. a) puede realizarse por tres vías:</w:t>
            </w:r>
          </w:p>
          <w:p w:rsidR="002B638D" w:rsidRPr="001373CA" w:rsidRDefault="002B638D" w:rsidP="002B638D">
            <w:pPr>
              <w:pStyle w:val="MARNparrafo"/>
              <w:numPr>
                <w:ilvl w:val="0"/>
                <w:numId w:val="3"/>
              </w:numPr>
              <w:spacing w:after="0"/>
              <w:ind w:left="289" w:hanging="284"/>
              <w:rPr>
                <w:rFonts w:asciiTheme="minorHAnsi" w:hAnsiTheme="minorHAnsi" w:cstheme="minorBidi"/>
                <w:color w:val="auto"/>
                <w:lang w:val="es-SV"/>
              </w:rPr>
            </w:pPr>
            <w:r w:rsidRPr="001373CA">
              <w:rPr>
                <w:rFonts w:asciiTheme="minorHAnsi" w:hAnsiTheme="minorHAnsi" w:cstheme="minorBidi"/>
                <w:color w:val="auto"/>
                <w:lang w:val="es-SV"/>
              </w:rPr>
              <w:t>Solicitar en oficina del MARN ubicada en Sta. Elena el Estudio de impacto ambiental del proyecto a consultar y llenar la ficha de observaciones brindada por personal autorizado,</w:t>
            </w:r>
          </w:p>
          <w:p w:rsidR="002B638D" w:rsidRPr="001373CA" w:rsidRDefault="002B638D" w:rsidP="002B638D">
            <w:pPr>
              <w:pStyle w:val="MARNparrafo"/>
              <w:numPr>
                <w:ilvl w:val="0"/>
                <w:numId w:val="3"/>
              </w:numPr>
              <w:spacing w:after="0"/>
              <w:ind w:left="289" w:hanging="284"/>
              <w:jc w:val="left"/>
              <w:rPr>
                <w:rFonts w:asciiTheme="minorHAnsi" w:hAnsiTheme="minorHAnsi" w:cstheme="minorBidi"/>
                <w:color w:val="auto"/>
                <w:lang w:val="es-SV"/>
              </w:rPr>
            </w:pPr>
            <w:r w:rsidRPr="001373CA">
              <w:rPr>
                <w:rFonts w:asciiTheme="minorHAnsi" w:hAnsiTheme="minorHAnsi" w:cstheme="minorBidi"/>
                <w:color w:val="auto"/>
                <w:lang w:val="es-SV"/>
              </w:rPr>
              <w:lastRenderedPageBreak/>
              <w:t>Solicitar en la municipalidad donde se desarrollará el proyecto consultar la copia del Estudio de impacto ambiental de dicho proyecto y llenar ficha de observaciones</w:t>
            </w:r>
          </w:p>
          <w:p w:rsidR="002B638D" w:rsidRPr="001373CA" w:rsidRDefault="002B638D" w:rsidP="002B638D">
            <w:pPr>
              <w:pStyle w:val="MARNparrafo"/>
              <w:numPr>
                <w:ilvl w:val="0"/>
                <w:numId w:val="3"/>
              </w:numPr>
              <w:spacing w:after="0"/>
              <w:ind w:left="289" w:hanging="284"/>
              <w:jc w:val="left"/>
              <w:rPr>
                <w:rFonts w:asciiTheme="minorHAnsi" w:hAnsiTheme="minorHAnsi" w:cstheme="minorBidi"/>
                <w:color w:val="auto"/>
                <w:lang w:val="es-SV"/>
              </w:rPr>
            </w:pPr>
            <w:r w:rsidRPr="001373CA">
              <w:rPr>
                <w:rFonts w:asciiTheme="minorHAnsi" w:hAnsiTheme="minorHAnsi" w:cstheme="minorBidi"/>
                <w:color w:val="auto"/>
                <w:lang w:val="es-SV"/>
              </w:rPr>
              <w:t>Consultar  a través de la pag. Web del MARN</w:t>
            </w:r>
            <w:r w:rsidR="001373CA">
              <w:rPr>
                <w:rFonts w:asciiTheme="minorHAnsi" w:hAnsiTheme="minorHAnsi" w:cstheme="minorBidi"/>
                <w:color w:val="auto"/>
                <w:lang w:val="es-SV"/>
              </w:rPr>
              <w:t xml:space="preserve"> </w:t>
            </w:r>
            <w:r w:rsidRPr="001373CA">
              <w:rPr>
                <w:rFonts w:asciiTheme="minorHAnsi" w:hAnsiTheme="minorHAnsi" w:cstheme="minorBidi"/>
                <w:color w:val="auto"/>
                <w:lang w:val="es-SV"/>
              </w:rPr>
              <w:t>(</w:t>
            </w:r>
            <w:hyperlink r:id="rId8" w:history="1">
              <w:r w:rsidRPr="001373CA">
                <w:rPr>
                  <w:rFonts w:asciiTheme="minorHAnsi" w:hAnsiTheme="minorHAnsi" w:cstheme="minorBidi"/>
                  <w:color w:val="auto"/>
                  <w:lang w:val="es-SV"/>
                </w:rPr>
                <w:t>www.marn.gob.sv</w:t>
              </w:r>
            </w:hyperlink>
            <w:r w:rsidRPr="001373CA">
              <w:rPr>
                <w:rFonts w:asciiTheme="minorHAnsi" w:hAnsiTheme="minorHAnsi" w:cstheme="minorBidi"/>
                <w:color w:val="auto"/>
                <w:lang w:val="es-SV"/>
              </w:rPr>
              <w:t xml:space="preserve">) </w:t>
            </w:r>
            <w:r w:rsidR="00CF7C2E" w:rsidRPr="001373CA">
              <w:rPr>
                <w:rFonts w:asciiTheme="minorHAnsi" w:hAnsiTheme="minorHAnsi" w:cstheme="minorBidi"/>
                <w:color w:val="auto"/>
                <w:lang w:val="es-SV"/>
              </w:rPr>
              <w:t>el estudio de impacto ambiental de proyecto a desarrollarse en un territorio y emitir observaciones en ficha anexa.</w:t>
            </w:r>
          </w:p>
          <w:p w:rsidR="00A10733" w:rsidRPr="001373CA" w:rsidRDefault="00CF7C2E" w:rsidP="004B7B70">
            <w:pPr>
              <w:pStyle w:val="MARNparrafo"/>
              <w:spacing w:after="0"/>
              <w:rPr>
                <w:rFonts w:asciiTheme="minorHAnsi" w:hAnsiTheme="minorHAnsi" w:cstheme="minorBidi"/>
                <w:color w:val="auto"/>
                <w:lang w:val="es-SV"/>
              </w:rPr>
            </w:pPr>
            <w:r w:rsidRPr="001373CA">
              <w:rPr>
                <w:rFonts w:asciiTheme="minorHAnsi" w:hAnsiTheme="minorHAnsi" w:cstheme="minorBidi"/>
                <w:color w:val="auto"/>
                <w:lang w:val="es-SV"/>
              </w:rPr>
              <w:t xml:space="preserve">Para consulta pública lit. b) el MARN  retomará el listado de personas naturales y jurídicas que emitieron opiniones en la consulta lit. a) y elaborara una carta de invitación para asistir a proceso de consulta lit. b), estas invitaciones serán distribuidas junto a encargado de U.A  de la municipalidad donde se desarrollara el proyecto. A la vez la municipalidad pegara afiches o hará volanteo para informar e invitar a la población de la realización de consulta pública. </w:t>
            </w:r>
          </w:p>
        </w:tc>
      </w:tr>
      <w:tr w:rsidR="0087634F" w:rsidTr="00CF7C2E">
        <w:tc>
          <w:tcPr>
            <w:tcW w:w="2830" w:type="dxa"/>
          </w:tcPr>
          <w:p w:rsidR="00A10733" w:rsidRPr="008E2640" w:rsidRDefault="00A10733" w:rsidP="00A10733">
            <w:pPr>
              <w:pStyle w:val="MARNparrafo"/>
              <w:spacing w:after="0"/>
              <w:rPr>
                <w:rFonts w:asciiTheme="minorHAnsi" w:eastAsiaTheme="minorEastAsia" w:hAnsiTheme="minorHAnsi" w:cstheme="minorBidi"/>
                <w:color w:val="auto"/>
                <w:lang w:val="es-SV" w:eastAsia="es-SV"/>
              </w:rPr>
            </w:pPr>
          </w:p>
          <w:p w:rsidR="00A10733" w:rsidRPr="004A2C8A" w:rsidRDefault="00A10733" w:rsidP="00A10733">
            <w:pPr>
              <w:pStyle w:val="SUBTITULO3"/>
              <w:rPr>
                <w:rFonts w:ascii="Arial" w:hAnsi="Arial" w:cs="Arial"/>
                <w:b w:val="0"/>
              </w:rPr>
            </w:pPr>
            <w:r w:rsidRPr="004A2C8A">
              <w:rPr>
                <w:rFonts w:ascii="Arial" w:hAnsi="Arial" w:cs="Arial"/>
                <w:b w:val="0"/>
              </w:rPr>
              <w:t xml:space="preserve">Mesas de diálogo </w:t>
            </w:r>
          </w:p>
          <w:p w:rsidR="0087634F" w:rsidRPr="008E2640" w:rsidRDefault="0087634F" w:rsidP="004B7B70">
            <w:pPr>
              <w:pStyle w:val="MARNparrafo"/>
              <w:spacing w:after="0"/>
              <w:rPr>
                <w:rFonts w:asciiTheme="minorHAnsi" w:eastAsiaTheme="minorEastAsia" w:hAnsiTheme="minorHAnsi" w:cstheme="minorBidi"/>
                <w:color w:val="auto"/>
                <w:lang w:val="es-SV" w:eastAsia="es-SV"/>
              </w:rPr>
            </w:pPr>
          </w:p>
        </w:tc>
        <w:tc>
          <w:tcPr>
            <w:tcW w:w="3969" w:type="dxa"/>
          </w:tcPr>
          <w:p w:rsidR="00A10733" w:rsidRPr="008E2640" w:rsidRDefault="00A10733" w:rsidP="00A10733">
            <w:pPr>
              <w:pStyle w:val="MARNparrafo"/>
              <w:spacing w:after="0"/>
              <w:rPr>
                <w:rFonts w:asciiTheme="minorHAnsi" w:eastAsiaTheme="minorEastAsia" w:hAnsiTheme="minorHAnsi" w:cstheme="minorBidi"/>
                <w:color w:val="auto"/>
                <w:lang w:val="es-SV" w:eastAsia="es-SV"/>
              </w:rPr>
            </w:pPr>
            <w:r w:rsidRPr="008E2640">
              <w:rPr>
                <w:rFonts w:asciiTheme="minorHAnsi" w:eastAsiaTheme="minorEastAsia" w:hAnsiTheme="minorHAnsi" w:cstheme="minorBidi"/>
                <w:color w:val="auto"/>
                <w:lang w:val="es-SV" w:eastAsia="es-SV"/>
              </w:rPr>
              <w:t>Con gremiales, personas naturales o jurídicas prestadoras de servicios, organizacio</w:t>
            </w:r>
            <w:r w:rsidRPr="008E2640">
              <w:rPr>
                <w:rFonts w:asciiTheme="minorHAnsi" w:eastAsiaTheme="minorEastAsia" w:hAnsiTheme="minorHAnsi" w:cstheme="minorBidi"/>
                <w:color w:val="auto"/>
                <w:lang w:val="es-SV" w:eastAsia="es-SV"/>
              </w:rPr>
              <w:softHyphen/>
              <w:t xml:space="preserve">nes no gubernamentales y comunidades organizadas, para abordar </w:t>
            </w:r>
            <w:r w:rsidRPr="008E2640">
              <w:rPr>
                <w:rFonts w:asciiTheme="minorHAnsi" w:eastAsiaTheme="minorEastAsia" w:hAnsiTheme="minorHAnsi" w:cstheme="minorBidi"/>
                <w:color w:val="auto"/>
                <w:lang w:val="es-SV" w:eastAsia="es-SV"/>
              </w:rPr>
              <w:lastRenderedPageBreak/>
              <w:t>problemáticas ambientales que requieren el concurso de los actores involucrados para la toma de acuerdos.</w:t>
            </w:r>
            <w:r w:rsidRPr="008E2640">
              <w:rPr>
                <w:rFonts w:asciiTheme="minorHAnsi" w:eastAsiaTheme="minorEastAsia" w:hAnsiTheme="minorHAnsi" w:cstheme="minorBidi"/>
                <w:color w:val="auto"/>
                <w:lang w:val="es-SV" w:eastAsia="es-SV"/>
              </w:rPr>
              <w:br/>
            </w:r>
          </w:p>
          <w:p w:rsidR="0087634F" w:rsidRPr="008E2640" w:rsidRDefault="0087634F" w:rsidP="004B7B70">
            <w:pPr>
              <w:pStyle w:val="MARNparrafo"/>
              <w:spacing w:after="0"/>
              <w:rPr>
                <w:rFonts w:asciiTheme="minorHAnsi" w:eastAsiaTheme="minorEastAsia" w:hAnsiTheme="minorHAnsi" w:cstheme="minorBidi"/>
                <w:color w:val="auto"/>
                <w:lang w:val="es-SV" w:eastAsia="es-SV"/>
              </w:rPr>
            </w:pPr>
          </w:p>
        </w:tc>
        <w:tc>
          <w:tcPr>
            <w:tcW w:w="2523" w:type="dxa"/>
          </w:tcPr>
          <w:p w:rsidR="0087634F" w:rsidRPr="001373CA" w:rsidRDefault="001373CA" w:rsidP="001373CA">
            <w:pPr>
              <w:pStyle w:val="MARNparrafo"/>
              <w:spacing w:after="0"/>
              <w:jc w:val="left"/>
              <w:rPr>
                <w:rFonts w:asciiTheme="minorHAnsi" w:eastAsiaTheme="minorEastAsia" w:hAnsiTheme="minorHAnsi" w:cstheme="minorBidi"/>
                <w:color w:val="auto"/>
                <w:lang w:val="es-SV" w:eastAsia="es-SV"/>
              </w:rPr>
            </w:pPr>
            <w:r>
              <w:rPr>
                <w:rFonts w:asciiTheme="minorHAnsi" w:eastAsiaTheme="minorEastAsia" w:hAnsiTheme="minorHAnsi" w:cstheme="minorBidi"/>
                <w:color w:val="auto"/>
                <w:lang w:val="es-SV" w:eastAsia="es-SV"/>
              </w:rPr>
              <w:lastRenderedPageBreak/>
              <w:t xml:space="preserve">Involucrar a </w:t>
            </w:r>
            <w:r w:rsidRPr="001373CA">
              <w:rPr>
                <w:rFonts w:asciiTheme="minorHAnsi" w:eastAsiaTheme="minorEastAsia" w:hAnsiTheme="minorHAnsi" w:cstheme="minorBidi"/>
                <w:color w:val="auto"/>
                <w:lang w:val="es-SV" w:eastAsia="es-SV"/>
              </w:rPr>
              <w:t xml:space="preserve">los </w:t>
            </w:r>
            <w:r w:rsidR="00CF7C2E" w:rsidRPr="001373CA">
              <w:rPr>
                <w:rFonts w:asciiTheme="minorHAnsi" w:eastAsiaTheme="minorEastAsia" w:hAnsiTheme="minorHAnsi" w:cstheme="minorBidi"/>
                <w:color w:val="auto"/>
                <w:lang w:val="es-SV" w:eastAsia="es-SV"/>
              </w:rPr>
              <w:t xml:space="preserve"> actores locales </w:t>
            </w:r>
            <w:r w:rsidRPr="001373CA">
              <w:rPr>
                <w:rFonts w:asciiTheme="minorHAnsi" w:eastAsiaTheme="minorEastAsia" w:hAnsiTheme="minorHAnsi" w:cstheme="minorBidi"/>
                <w:color w:val="auto"/>
                <w:lang w:val="es-SV" w:eastAsia="es-SV"/>
              </w:rPr>
              <w:t xml:space="preserve">en </w:t>
            </w:r>
            <w:r w:rsidR="00CF7C2E" w:rsidRPr="001373CA">
              <w:rPr>
                <w:rFonts w:asciiTheme="minorHAnsi" w:eastAsiaTheme="minorEastAsia" w:hAnsiTheme="minorHAnsi" w:cstheme="minorBidi"/>
                <w:color w:val="auto"/>
                <w:lang w:val="es-SV" w:eastAsia="es-SV"/>
              </w:rPr>
              <w:t>las problemáticas rel</w:t>
            </w:r>
            <w:r w:rsidRPr="001373CA">
              <w:rPr>
                <w:rFonts w:asciiTheme="minorHAnsi" w:eastAsiaTheme="minorEastAsia" w:hAnsiTheme="minorHAnsi" w:cstheme="minorBidi"/>
                <w:color w:val="auto"/>
                <w:lang w:val="es-SV" w:eastAsia="es-SV"/>
              </w:rPr>
              <w:t xml:space="preserve">acionadas a la gestión </w:t>
            </w:r>
            <w:r w:rsidRPr="001373CA">
              <w:rPr>
                <w:rFonts w:asciiTheme="minorHAnsi" w:eastAsiaTheme="minorEastAsia" w:hAnsiTheme="minorHAnsi" w:cstheme="minorBidi"/>
                <w:color w:val="auto"/>
                <w:lang w:val="es-SV" w:eastAsia="es-SV"/>
              </w:rPr>
              <w:lastRenderedPageBreak/>
              <w:t xml:space="preserve">ambienta, y </w:t>
            </w:r>
            <w:r w:rsidR="00CF7C2E" w:rsidRPr="001373CA">
              <w:rPr>
                <w:rFonts w:asciiTheme="minorHAnsi" w:eastAsiaTheme="minorEastAsia" w:hAnsiTheme="minorHAnsi" w:cstheme="minorBidi"/>
                <w:color w:val="auto"/>
                <w:lang w:val="es-SV" w:eastAsia="es-SV"/>
              </w:rPr>
              <w:t>tomar acuerdos  consensuados y orientados a soluciones viables y sostenibles.</w:t>
            </w:r>
          </w:p>
        </w:tc>
        <w:tc>
          <w:tcPr>
            <w:tcW w:w="3289" w:type="dxa"/>
          </w:tcPr>
          <w:p w:rsidR="0087634F" w:rsidRDefault="001373CA" w:rsidP="004B7B70">
            <w:pPr>
              <w:pStyle w:val="MARNparrafo"/>
              <w:spacing w:after="0"/>
              <w:rPr>
                <w:rFonts w:asciiTheme="minorHAnsi" w:hAnsiTheme="minorHAnsi" w:cstheme="minorBidi"/>
                <w:color w:val="auto"/>
                <w:lang w:val="es-SV"/>
              </w:rPr>
            </w:pPr>
            <w:r>
              <w:rPr>
                <w:rFonts w:asciiTheme="minorHAnsi" w:hAnsiTheme="minorHAnsi" w:cstheme="minorBidi"/>
                <w:color w:val="auto"/>
                <w:lang w:val="es-SV"/>
              </w:rPr>
              <w:lastRenderedPageBreak/>
              <w:t>Existen varias formas de constitución de estas mesas:</w:t>
            </w:r>
          </w:p>
          <w:p w:rsidR="001373CA" w:rsidRDefault="001373CA" w:rsidP="001373CA">
            <w:pPr>
              <w:pStyle w:val="MARNparrafo"/>
              <w:numPr>
                <w:ilvl w:val="0"/>
                <w:numId w:val="4"/>
              </w:numPr>
              <w:spacing w:after="0"/>
              <w:rPr>
                <w:rFonts w:asciiTheme="minorHAnsi" w:hAnsiTheme="minorHAnsi" w:cstheme="minorBidi"/>
                <w:color w:val="auto"/>
                <w:lang w:val="es-SV"/>
              </w:rPr>
            </w:pPr>
            <w:r>
              <w:rPr>
                <w:rFonts w:asciiTheme="minorHAnsi" w:hAnsiTheme="minorHAnsi" w:cstheme="minorBidi"/>
                <w:color w:val="auto"/>
                <w:lang w:val="es-SV"/>
              </w:rPr>
              <w:t xml:space="preserve">Por solicitud enviada por personas naturales o </w:t>
            </w:r>
            <w:r>
              <w:rPr>
                <w:rFonts w:asciiTheme="minorHAnsi" w:hAnsiTheme="minorHAnsi" w:cstheme="minorBidi"/>
                <w:color w:val="auto"/>
                <w:lang w:val="es-SV"/>
              </w:rPr>
              <w:lastRenderedPageBreak/>
              <w:t xml:space="preserve">jurídicas al Despacho Ministerial vía escrita y /o correo electrónico </w:t>
            </w:r>
          </w:p>
          <w:p w:rsidR="001373CA" w:rsidRPr="001373CA" w:rsidRDefault="001373CA" w:rsidP="001373CA">
            <w:pPr>
              <w:pStyle w:val="MARNparrafo"/>
              <w:numPr>
                <w:ilvl w:val="0"/>
                <w:numId w:val="4"/>
              </w:numPr>
              <w:spacing w:after="0"/>
              <w:rPr>
                <w:rFonts w:asciiTheme="minorHAnsi" w:hAnsiTheme="minorHAnsi" w:cstheme="minorBidi"/>
                <w:color w:val="auto"/>
                <w:lang w:val="es-SV"/>
              </w:rPr>
            </w:pPr>
            <w:r>
              <w:rPr>
                <w:rFonts w:asciiTheme="minorHAnsi" w:hAnsiTheme="minorHAnsi" w:cstheme="minorBidi"/>
                <w:color w:val="auto"/>
                <w:lang w:val="es-SV"/>
              </w:rPr>
              <w:t>Por solicitud del MARN a diversos actores de la sociedad  a raíz de una problemática identificada o desarrollo de actividades en el tema ambiental a desarrollarse en territorios específicos.</w:t>
            </w:r>
          </w:p>
        </w:tc>
      </w:tr>
      <w:tr w:rsidR="0087634F" w:rsidTr="00CF7C2E">
        <w:tc>
          <w:tcPr>
            <w:tcW w:w="2830" w:type="dxa"/>
          </w:tcPr>
          <w:p w:rsidR="008E2640" w:rsidRPr="004A2C8A" w:rsidRDefault="008E2640" w:rsidP="004A2C8A">
            <w:pPr>
              <w:pStyle w:val="SUBTITULO3"/>
              <w:rPr>
                <w:rFonts w:ascii="Arial" w:hAnsi="Arial" w:cs="Arial"/>
                <w:b w:val="0"/>
              </w:rPr>
            </w:pPr>
          </w:p>
          <w:p w:rsidR="008E2640" w:rsidRPr="004A2C8A" w:rsidRDefault="008E2640" w:rsidP="004A2C8A">
            <w:pPr>
              <w:pStyle w:val="SUBTITULO3"/>
              <w:ind w:firstLine="0"/>
              <w:rPr>
                <w:rFonts w:ascii="Arial" w:hAnsi="Arial" w:cs="Arial"/>
                <w:b w:val="0"/>
              </w:rPr>
            </w:pPr>
            <w:r w:rsidRPr="004A2C8A">
              <w:rPr>
                <w:rFonts w:ascii="Arial" w:hAnsi="Arial" w:cs="Arial"/>
                <w:b w:val="0"/>
              </w:rPr>
              <w:t xml:space="preserve">Oficina de Información y Respuesta, OIR </w:t>
            </w:r>
          </w:p>
          <w:p w:rsidR="0087634F" w:rsidRPr="008E2640" w:rsidRDefault="0087634F" w:rsidP="004B7B70">
            <w:pPr>
              <w:pStyle w:val="MARNparrafo"/>
              <w:spacing w:after="0"/>
              <w:rPr>
                <w:rFonts w:asciiTheme="minorHAnsi" w:eastAsiaTheme="minorEastAsia" w:hAnsiTheme="minorHAnsi" w:cstheme="minorBidi"/>
                <w:color w:val="auto"/>
                <w:lang w:val="es-SV" w:eastAsia="es-SV"/>
              </w:rPr>
            </w:pPr>
          </w:p>
        </w:tc>
        <w:tc>
          <w:tcPr>
            <w:tcW w:w="3969" w:type="dxa"/>
          </w:tcPr>
          <w:p w:rsidR="008E2640" w:rsidRPr="008E2640" w:rsidRDefault="00662E53" w:rsidP="008E2640">
            <w:pPr>
              <w:pStyle w:val="MARNparrafo"/>
              <w:rPr>
                <w:rFonts w:asciiTheme="minorHAnsi" w:eastAsiaTheme="minorEastAsia" w:hAnsiTheme="minorHAnsi" w:cstheme="minorBidi"/>
                <w:color w:val="auto"/>
                <w:lang w:val="es-SV" w:eastAsia="es-SV"/>
              </w:rPr>
            </w:pPr>
            <w:r>
              <w:rPr>
                <w:rFonts w:asciiTheme="minorHAnsi" w:eastAsiaTheme="minorEastAsia" w:hAnsiTheme="minorHAnsi" w:cstheme="minorBidi"/>
                <w:color w:val="auto"/>
                <w:lang w:val="es-SV" w:eastAsia="es-SV"/>
              </w:rPr>
              <w:t>Mecanismo por el cual toda persona (natural o jurídica) puede solicitar información sobre el quehacer de la institución</w:t>
            </w:r>
            <w:r w:rsidR="004A2C8A">
              <w:rPr>
                <w:rFonts w:asciiTheme="minorHAnsi" w:eastAsiaTheme="minorEastAsia" w:hAnsiTheme="minorHAnsi" w:cstheme="minorBidi"/>
                <w:color w:val="auto"/>
                <w:lang w:val="es-SV" w:eastAsia="es-SV"/>
              </w:rPr>
              <w:t xml:space="preserve"> (información pública)</w:t>
            </w:r>
            <w:r>
              <w:rPr>
                <w:rFonts w:asciiTheme="minorHAnsi" w:eastAsiaTheme="minorEastAsia" w:hAnsiTheme="minorHAnsi" w:cstheme="minorBidi"/>
                <w:color w:val="auto"/>
                <w:lang w:val="es-SV" w:eastAsia="es-SV"/>
              </w:rPr>
              <w:t xml:space="preserve"> a través de procedimientos sencillos y expeditos. </w:t>
            </w:r>
          </w:p>
          <w:p w:rsidR="0087634F" w:rsidRPr="008E2640" w:rsidRDefault="0087634F" w:rsidP="004B7B70">
            <w:pPr>
              <w:pStyle w:val="MARNparrafo"/>
              <w:spacing w:after="0"/>
              <w:rPr>
                <w:rFonts w:asciiTheme="minorHAnsi" w:eastAsiaTheme="minorEastAsia" w:hAnsiTheme="minorHAnsi" w:cstheme="minorBidi"/>
                <w:color w:val="auto"/>
                <w:lang w:val="es-SV" w:eastAsia="es-SV"/>
              </w:rPr>
            </w:pPr>
          </w:p>
        </w:tc>
        <w:tc>
          <w:tcPr>
            <w:tcW w:w="2523" w:type="dxa"/>
          </w:tcPr>
          <w:p w:rsidR="0087634F" w:rsidRPr="001373CA" w:rsidRDefault="00662E53" w:rsidP="001373CA">
            <w:pPr>
              <w:rPr>
                <w:rFonts w:eastAsiaTheme="minorEastAsia"/>
                <w:lang w:eastAsia="es-SV"/>
              </w:rPr>
            </w:pPr>
            <w:r w:rsidRPr="001373CA">
              <w:rPr>
                <w:rFonts w:eastAsiaTheme="minorEastAsia"/>
                <w:lang w:eastAsia="es-SV"/>
              </w:rPr>
              <w:t>Garantizar el derecho de toda persona a la información pública, a fin de contribuir con la transparencia de las actuaciones del MARN.</w:t>
            </w:r>
          </w:p>
        </w:tc>
        <w:tc>
          <w:tcPr>
            <w:tcW w:w="3289" w:type="dxa"/>
          </w:tcPr>
          <w:p w:rsidR="00662E53" w:rsidRPr="001373CA" w:rsidRDefault="00662E53" w:rsidP="004B7B70">
            <w:pPr>
              <w:pStyle w:val="MARNparrafo"/>
              <w:spacing w:after="0"/>
              <w:rPr>
                <w:rFonts w:asciiTheme="minorHAnsi" w:hAnsiTheme="minorHAnsi" w:cstheme="minorBidi"/>
                <w:color w:val="auto"/>
                <w:lang w:val="es-SV"/>
              </w:rPr>
            </w:pPr>
            <w:r w:rsidRPr="001373CA">
              <w:rPr>
                <w:rFonts w:asciiTheme="minorHAnsi" w:hAnsiTheme="minorHAnsi" w:cstheme="minorBidi"/>
                <w:color w:val="auto"/>
                <w:lang w:val="es-SV"/>
              </w:rPr>
              <w:t>Llenar la solicitud electrónica que aparece ene sitio web y en el Portal de Gobierno Transparente, enviar solicitud vía correo electrónico y anexar documento de identidad.</w:t>
            </w:r>
          </w:p>
        </w:tc>
      </w:tr>
      <w:tr w:rsidR="008027FE" w:rsidRPr="004A2C8A" w:rsidTr="00CF7C2E">
        <w:tc>
          <w:tcPr>
            <w:tcW w:w="2830" w:type="dxa"/>
          </w:tcPr>
          <w:p w:rsidR="008027FE" w:rsidRPr="004A2C8A" w:rsidRDefault="008027FE" w:rsidP="008027FE">
            <w:pPr>
              <w:pStyle w:val="SUBTITULO3"/>
              <w:rPr>
                <w:rFonts w:ascii="Arial" w:hAnsi="Arial" w:cs="Arial"/>
                <w:b w:val="0"/>
              </w:rPr>
            </w:pPr>
          </w:p>
          <w:p w:rsidR="008027FE" w:rsidRPr="004A2C8A" w:rsidRDefault="008027FE" w:rsidP="008027FE">
            <w:pPr>
              <w:pStyle w:val="SUBTITULO3"/>
              <w:rPr>
                <w:rFonts w:ascii="Arial" w:hAnsi="Arial" w:cs="Arial"/>
                <w:b w:val="0"/>
              </w:rPr>
            </w:pPr>
            <w:r w:rsidRPr="004A2C8A">
              <w:rPr>
                <w:rFonts w:ascii="Arial" w:hAnsi="Arial" w:cs="Arial"/>
                <w:b w:val="0"/>
              </w:rPr>
              <w:t>Redes sociales</w:t>
            </w:r>
          </w:p>
          <w:p w:rsidR="008027FE" w:rsidRPr="008E2640" w:rsidRDefault="008027FE" w:rsidP="008027FE">
            <w:pPr>
              <w:pStyle w:val="MARNparrafo"/>
              <w:spacing w:after="0"/>
              <w:rPr>
                <w:rFonts w:asciiTheme="minorHAnsi" w:eastAsiaTheme="minorEastAsia" w:hAnsiTheme="minorHAnsi" w:cstheme="minorBidi"/>
                <w:color w:val="auto"/>
                <w:lang w:val="es-SV" w:eastAsia="es-SV"/>
              </w:rPr>
            </w:pPr>
          </w:p>
        </w:tc>
        <w:tc>
          <w:tcPr>
            <w:tcW w:w="3969" w:type="dxa"/>
          </w:tcPr>
          <w:p w:rsidR="008027FE" w:rsidRPr="008E2640" w:rsidRDefault="008027FE" w:rsidP="008027FE">
            <w:pPr>
              <w:pStyle w:val="MARNparrafo"/>
              <w:rPr>
                <w:rFonts w:asciiTheme="minorHAnsi" w:eastAsiaTheme="minorEastAsia" w:hAnsiTheme="minorHAnsi" w:cstheme="minorBidi"/>
                <w:color w:val="auto"/>
                <w:lang w:val="es-SV" w:eastAsia="es-SV"/>
              </w:rPr>
            </w:pPr>
            <w:r w:rsidRPr="008E2640">
              <w:rPr>
                <w:rFonts w:asciiTheme="minorHAnsi" w:eastAsiaTheme="minorEastAsia" w:hAnsiTheme="minorHAnsi" w:cstheme="minorBidi"/>
                <w:color w:val="auto"/>
                <w:lang w:val="es-SV" w:eastAsia="es-SV"/>
              </w:rPr>
              <w:t xml:space="preserve">El MARN dispone de cuentas oficiales en las redes sociales (twitter, Facebook y youtube), como canales bidireccionales e interactivos con la población que permiten acercar la gestión ambiental a la ciudadanía.  </w:t>
            </w:r>
          </w:p>
          <w:p w:rsidR="008027FE" w:rsidRPr="008E2640" w:rsidRDefault="008027FE" w:rsidP="008027FE">
            <w:pPr>
              <w:rPr>
                <w:rFonts w:eastAsiaTheme="minorEastAsia"/>
                <w:lang w:eastAsia="es-SV"/>
              </w:rPr>
            </w:pPr>
          </w:p>
          <w:p w:rsidR="008027FE" w:rsidRPr="008E2640" w:rsidRDefault="008027FE" w:rsidP="008027FE">
            <w:pPr>
              <w:pStyle w:val="MARNparrafo"/>
              <w:spacing w:after="0"/>
              <w:rPr>
                <w:rFonts w:asciiTheme="minorHAnsi" w:eastAsiaTheme="minorEastAsia" w:hAnsiTheme="minorHAnsi" w:cstheme="minorBidi"/>
                <w:color w:val="auto"/>
                <w:lang w:val="es-SV" w:eastAsia="es-SV"/>
              </w:rPr>
            </w:pPr>
          </w:p>
        </w:tc>
        <w:tc>
          <w:tcPr>
            <w:tcW w:w="2523" w:type="dxa"/>
          </w:tcPr>
          <w:p w:rsidR="008027FE" w:rsidRPr="001373CA" w:rsidRDefault="008027FE" w:rsidP="008027FE">
            <w:pPr>
              <w:pStyle w:val="MARNparrafo"/>
              <w:spacing w:after="0"/>
              <w:jc w:val="left"/>
              <w:rPr>
                <w:rFonts w:asciiTheme="minorHAnsi" w:eastAsiaTheme="minorEastAsia" w:hAnsiTheme="minorHAnsi" w:cstheme="minorBidi"/>
                <w:color w:val="auto"/>
                <w:lang w:val="es-SV" w:eastAsia="es-SV"/>
              </w:rPr>
            </w:pPr>
            <w:r w:rsidRPr="001373CA">
              <w:rPr>
                <w:rFonts w:asciiTheme="minorHAnsi" w:eastAsiaTheme="minorEastAsia" w:hAnsiTheme="minorHAnsi" w:cstheme="minorBidi"/>
                <w:color w:val="auto"/>
                <w:lang w:val="es-SV" w:eastAsia="es-SV"/>
              </w:rPr>
              <w:t xml:space="preserve">Que la población tenga una herramienta de fácil y ágil acceso a la información, además, una forma expedita de denuncia ambiental. </w:t>
            </w:r>
          </w:p>
        </w:tc>
        <w:tc>
          <w:tcPr>
            <w:tcW w:w="3289" w:type="dxa"/>
          </w:tcPr>
          <w:p w:rsidR="008027FE" w:rsidRDefault="008027FE" w:rsidP="008027FE">
            <w:pPr>
              <w:pStyle w:val="MARNparrafo"/>
              <w:spacing w:after="0"/>
              <w:rPr>
                <w:rFonts w:asciiTheme="minorHAnsi" w:hAnsiTheme="minorHAnsi" w:cstheme="minorBidi"/>
                <w:color w:val="auto"/>
              </w:rPr>
            </w:pPr>
            <w:r>
              <w:rPr>
                <w:rFonts w:asciiTheme="minorHAnsi" w:hAnsiTheme="minorHAnsi" w:cstheme="minorBidi"/>
                <w:color w:val="auto"/>
              </w:rPr>
              <w:t xml:space="preserve">La ciudadanía </w:t>
            </w:r>
            <w:r w:rsidRPr="004A2C8A">
              <w:rPr>
                <w:rFonts w:asciiTheme="minorHAnsi" w:hAnsiTheme="minorHAnsi" w:cstheme="minorBidi"/>
                <w:color w:val="auto"/>
              </w:rPr>
              <w:t>pued</w:t>
            </w:r>
            <w:r>
              <w:rPr>
                <w:rFonts w:asciiTheme="minorHAnsi" w:hAnsiTheme="minorHAnsi" w:cstheme="minorBidi"/>
                <w:color w:val="auto"/>
              </w:rPr>
              <w:t xml:space="preserve">a </w:t>
            </w:r>
            <w:r w:rsidRPr="004A2C8A">
              <w:rPr>
                <w:rFonts w:asciiTheme="minorHAnsi" w:hAnsiTheme="minorHAnsi" w:cstheme="minorBidi"/>
                <w:color w:val="auto"/>
              </w:rPr>
              <w:t>acceder a las redes sociales a través de</w:t>
            </w:r>
            <w:r>
              <w:rPr>
                <w:rFonts w:asciiTheme="minorHAnsi" w:hAnsiTheme="minorHAnsi" w:cstheme="minorBidi"/>
                <w:color w:val="auto"/>
              </w:rPr>
              <w:t xml:space="preserve"> computadora, tablet o </w:t>
            </w:r>
            <w:r w:rsidRPr="004A2C8A">
              <w:rPr>
                <w:rFonts w:asciiTheme="minorHAnsi" w:hAnsiTheme="minorHAnsi" w:cstheme="minorBidi"/>
                <w:color w:val="auto"/>
              </w:rPr>
              <w:t>smartphones.</w:t>
            </w:r>
          </w:p>
          <w:p w:rsidR="008027FE" w:rsidRDefault="008027FE" w:rsidP="008027FE">
            <w:pPr>
              <w:pStyle w:val="MARNparrafo"/>
              <w:spacing w:after="0"/>
              <w:rPr>
                <w:rFonts w:asciiTheme="minorHAnsi" w:hAnsiTheme="minorHAnsi" w:cstheme="minorBidi"/>
                <w:color w:val="auto"/>
              </w:rPr>
            </w:pPr>
            <w:r>
              <w:rPr>
                <w:rFonts w:asciiTheme="minorHAnsi" w:hAnsiTheme="minorHAnsi" w:cstheme="minorBidi"/>
                <w:color w:val="auto"/>
              </w:rPr>
              <w:t>Cuentas:</w:t>
            </w:r>
            <w:r>
              <w:rPr>
                <w:rFonts w:asciiTheme="minorHAnsi" w:hAnsiTheme="minorHAnsi" w:cstheme="minorBidi"/>
                <w:color w:val="auto"/>
              </w:rPr>
              <w:br/>
            </w:r>
            <w:hyperlink r:id="rId9" w:history="1">
              <w:r w:rsidRPr="00685B19">
                <w:rPr>
                  <w:rStyle w:val="Hipervnculo"/>
                  <w:rFonts w:asciiTheme="minorHAnsi" w:hAnsiTheme="minorHAnsi" w:cstheme="minorBidi"/>
                </w:rPr>
                <w:t>www.facebook.com/marn.gob.sv</w:t>
              </w:r>
            </w:hyperlink>
          </w:p>
          <w:p w:rsidR="008027FE" w:rsidRDefault="008027FE" w:rsidP="008027FE">
            <w:pPr>
              <w:pStyle w:val="MARNparrafo"/>
              <w:spacing w:after="0"/>
              <w:rPr>
                <w:rFonts w:asciiTheme="minorHAnsi" w:hAnsiTheme="minorHAnsi" w:cstheme="minorBidi"/>
                <w:color w:val="auto"/>
              </w:rPr>
            </w:pPr>
            <w:r>
              <w:rPr>
                <w:rFonts w:asciiTheme="minorHAnsi" w:hAnsiTheme="minorHAnsi" w:cstheme="minorBidi"/>
                <w:color w:val="auto"/>
              </w:rPr>
              <w:t>Twitter: @MARN_Oficial_SV</w:t>
            </w:r>
          </w:p>
          <w:p w:rsidR="008027FE" w:rsidRDefault="008027FE" w:rsidP="008027FE">
            <w:pPr>
              <w:pStyle w:val="MARNparrafo"/>
              <w:spacing w:after="0"/>
              <w:rPr>
                <w:rFonts w:asciiTheme="minorHAnsi" w:hAnsiTheme="minorHAnsi" w:cstheme="minorBidi"/>
                <w:color w:val="auto"/>
              </w:rPr>
            </w:pPr>
          </w:p>
          <w:p w:rsidR="008027FE" w:rsidRDefault="008027FE" w:rsidP="008027FE">
            <w:pPr>
              <w:pStyle w:val="MARNparrafo"/>
              <w:spacing w:after="0"/>
              <w:rPr>
                <w:rFonts w:asciiTheme="minorHAnsi" w:hAnsiTheme="minorHAnsi" w:cstheme="minorBidi"/>
                <w:color w:val="auto"/>
              </w:rPr>
            </w:pPr>
            <w:r>
              <w:rPr>
                <w:rFonts w:asciiTheme="minorHAnsi" w:hAnsiTheme="minorHAnsi" w:cstheme="minorBidi"/>
                <w:color w:val="auto"/>
              </w:rPr>
              <w:t>Youtube: Ministerio_de_Medio_Ambiente_y_Recursos_Naturales</w:t>
            </w:r>
          </w:p>
          <w:p w:rsidR="008027FE" w:rsidRPr="004A2C8A" w:rsidRDefault="008027FE" w:rsidP="008027FE">
            <w:pPr>
              <w:pStyle w:val="MARNparrafo"/>
              <w:spacing w:after="0"/>
              <w:rPr>
                <w:rFonts w:asciiTheme="minorHAnsi" w:hAnsiTheme="minorHAnsi" w:cstheme="minorBidi"/>
                <w:color w:val="auto"/>
              </w:rPr>
            </w:pPr>
          </w:p>
        </w:tc>
      </w:tr>
    </w:tbl>
    <w:p w:rsidR="0087634F" w:rsidRPr="0087634F" w:rsidRDefault="0087634F" w:rsidP="004B7B70">
      <w:pPr>
        <w:pStyle w:val="MARNparrafo"/>
        <w:spacing w:after="0"/>
        <w:rPr>
          <w:rFonts w:ascii="Arial" w:hAnsi="Arial" w:cs="Arial"/>
        </w:rPr>
      </w:pPr>
    </w:p>
    <w:p w:rsidR="004B7B70" w:rsidRPr="0087634F" w:rsidRDefault="004B7B70" w:rsidP="008E2640">
      <w:pPr>
        <w:pStyle w:val="MARNparrafo"/>
        <w:spacing w:after="0"/>
        <w:rPr>
          <w:rFonts w:ascii="Arial" w:hAnsi="Arial" w:cs="Arial"/>
        </w:rPr>
      </w:pPr>
      <w:r w:rsidRPr="0087634F">
        <w:rPr>
          <w:rFonts w:ascii="Arial" w:hAnsi="Arial" w:cs="Arial"/>
        </w:rPr>
        <w:br/>
        <w:t xml:space="preserve"> </w:t>
      </w:r>
    </w:p>
    <w:p w:rsidR="00767C4B" w:rsidRPr="0087634F" w:rsidRDefault="00767C4B">
      <w:pPr>
        <w:rPr>
          <w:rFonts w:ascii="Arial" w:hAnsi="Arial" w:cs="Arial"/>
        </w:rPr>
      </w:pPr>
    </w:p>
    <w:sectPr w:rsidR="00767C4B" w:rsidRPr="0087634F" w:rsidSect="0087634F">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4A3" w:rsidRDefault="00C844A3" w:rsidP="004A2C8A">
      <w:pPr>
        <w:spacing w:after="0" w:line="240" w:lineRule="auto"/>
      </w:pPr>
      <w:r>
        <w:separator/>
      </w:r>
    </w:p>
  </w:endnote>
  <w:endnote w:type="continuationSeparator" w:id="0">
    <w:p w:rsidR="00C844A3" w:rsidRDefault="00C844A3" w:rsidP="004A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sig w:usb0="00000000"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4A3" w:rsidRDefault="00C844A3" w:rsidP="004A2C8A">
      <w:pPr>
        <w:spacing w:after="0" w:line="240" w:lineRule="auto"/>
      </w:pPr>
      <w:r>
        <w:separator/>
      </w:r>
    </w:p>
  </w:footnote>
  <w:footnote w:type="continuationSeparator" w:id="0">
    <w:p w:rsidR="00C844A3" w:rsidRDefault="00C844A3" w:rsidP="004A2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33C4"/>
    <w:multiLevelType w:val="hybridMultilevel"/>
    <w:tmpl w:val="53A42C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B945AF"/>
    <w:multiLevelType w:val="hybridMultilevel"/>
    <w:tmpl w:val="B2561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104602"/>
    <w:multiLevelType w:val="hybridMultilevel"/>
    <w:tmpl w:val="FD2AF1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F13223"/>
    <w:multiLevelType w:val="hybridMultilevel"/>
    <w:tmpl w:val="5E86A6D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70"/>
    <w:rsid w:val="001373CA"/>
    <w:rsid w:val="001C5A66"/>
    <w:rsid w:val="002B638D"/>
    <w:rsid w:val="002F17B4"/>
    <w:rsid w:val="00324127"/>
    <w:rsid w:val="00387AE4"/>
    <w:rsid w:val="004A2C8A"/>
    <w:rsid w:val="004B7B70"/>
    <w:rsid w:val="00662E53"/>
    <w:rsid w:val="00767C4B"/>
    <w:rsid w:val="0077443A"/>
    <w:rsid w:val="008027FE"/>
    <w:rsid w:val="0087634F"/>
    <w:rsid w:val="008E2640"/>
    <w:rsid w:val="00A10733"/>
    <w:rsid w:val="00C844A3"/>
    <w:rsid w:val="00CF7C2E"/>
    <w:rsid w:val="00D933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00F17-F119-404D-BC6A-39F27E46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4B7B70"/>
    <w:pPr>
      <w:spacing w:after="200" w:line="276" w:lineRule="auto"/>
      <w:ind w:left="720"/>
      <w:contextualSpacing/>
    </w:pPr>
    <w:rPr>
      <w:rFonts w:eastAsiaTheme="minorEastAsia"/>
      <w:lang w:eastAsia="es-SV"/>
    </w:rPr>
  </w:style>
  <w:style w:type="character" w:customStyle="1" w:styleId="PrrafodelistaCar">
    <w:name w:val="Párrafo de lista Car"/>
    <w:link w:val="Prrafodelista"/>
    <w:uiPriority w:val="99"/>
    <w:rsid w:val="004B7B70"/>
    <w:rPr>
      <w:rFonts w:eastAsiaTheme="minorEastAsia"/>
      <w:lang w:eastAsia="es-SV"/>
    </w:rPr>
  </w:style>
  <w:style w:type="paragraph" w:customStyle="1" w:styleId="MARNparrafo">
    <w:name w:val="MARN parrafo"/>
    <w:basedOn w:val="Normal"/>
    <w:qFormat/>
    <w:rsid w:val="004B7B70"/>
    <w:pPr>
      <w:spacing w:after="120" w:line="240" w:lineRule="auto"/>
      <w:jc w:val="both"/>
    </w:pPr>
    <w:rPr>
      <w:rFonts w:ascii="Gill Sans MT" w:hAnsi="Gill Sans MT" w:cs="Gill Sans"/>
      <w:color w:val="595959" w:themeColor="text1" w:themeTint="A6"/>
      <w:lang w:val="es-ES"/>
    </w:rPr>
  </w:style>
  <w:style w:type="paragraph" w:customStyle="1" w:styleId="SUBTITULO3">
    <w:name w:val="SUBTITULO 3"/>
    <w:basedOn w:val="Normal"/>
    <w:qFormat/>
    <w:rsid w:val="004B7B70"/>
    <w:pPr>
      <w:spacing w:after="200" w:line="276" w:lineRule="auto"/>
      <w:ind w:firstLine="360"/>
    </w:pPr>
    <w:rPr>
      <w:rFonts w:ascii="Gill Sans" w:eastAsiaTheme="minorEastAsia" w:hAnsi="Gill Sans" w:cs="Gill Sans"/>
      <w:b/>
      <w:color w:val="767171" w:themeColor="background2" w:themeShade="80"/>
      <w:lang w:eastAsia="es-SV"/>
    </w:rPr>
  </w:style>
  <w:style w:type="character" w:styleId="Textoennegrita">
    <w:name w:val="Strong"/>
    <w:basedOn w:val="Fuentedeprrafopredeter"/>
    <w:uiPriority w:val="22"/>
    <w:qFormat/>
    <w:rsid w:val="004B7B70"/>
    <w:rPr>
      <w:b/>
      <w:bCs/>
    </w:rPr>
  </w:style>
  <w:style w:type="table" w:styleId="Tablaconcuadrcula">
    <w:name w:val="Table Grid"/>
    <w:basedOn w:val="Tablanormal"/>
    <w:uiPriority w:val="39"/>
    <w:rsid w:val="0087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0733"/>
    <w:rPr>
      <w:color w:val="0563C1" w:themeColor="hyperlink"/>
      <w:u w:val="single"/>
    </w:rPr>
  </w:style>
  <w:style w:type="paragraph" w:styleId="Encabezado">
    <w:name w:val="header"/>
    <w:basedOn w:val="Normal"/>
    <w:link w:val="EncabezadoCar"/>
    <w:uiPriority w:val="99"/>
    <w:unhideWhenUsed/>
    <w:rsid w:val="004A2C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2C8A"/>
  </w:style>
  <w:style w:type="paragraph" w:styleId="Piedepgina">
    <w:name w:val="footer"/>
    <w:basedOn w:val="Normal"/>
    <w:link w:val="PiedepginaCar"/>
    <w:uiPriority w:val="99"/>
    <w:unhideWhenUsed/>
    <w:rsid w:val="004A2C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 TargetMode="External"/><Relationship Id="rId3" Type="http://schemas.openxmlformats.org/officeDocument/2006/relationships/settings" Target="settings.xml"/><Relationship Id="rId7" Type="http://schemas.openxmlformats.org/officeDocument/2006/relationships/hyperlink" Target="mailto:eescobar@manr.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marn.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Sandoval</dc:creator>
  <cp:lastModifiedBy>Marina Sandoval</cp:lastModifiedBy>
  <cp:revision>3</cp:revision>
  <dcterms:created xsi:type="dcterms:W3CDTF">2015-11-20T14:07:00Z</dcterms:created>
  <dcterms:modified xsi:type="dcterms:W3CDTF">2015-11-20T14:08:00Z</dcterms:modified>
</cp:coreProperties>
</file>