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0" w:rsidRDefault="00137960"/>
    <w:p w:rsidR="009F2FEE" w:rsidRPr="00F032FA" w:rsidRDefault="007D340A" w:rsidP="00F032FA">
      <w:pPr>
        <w:pStyle w:val="Ttulo1"/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F032FA">
        <w:rPr>
          <w:b/>
          <w:color w:val="auto"/>
          <w:sz w:val="28"/>
          <w:szCs w:val="28"/>
        </w:rPr>
        <w:t xml:space="preserve">INFORME DE </w:t>
      </w:r>
      <w:r w:rsidR="009F2FEE" w:rsidRPr="00F032FA">
        <w:rPr>
          <w:b/>
          <w:color w:val="auto"/>
          <w:sz w:val="28"/>
          <w:szCs w:val="28"/>
        </w:rPr>
        <w:t xml:space="preserve">RESULTADOS DE </w:t>
      </w:r>
      <w:r w:rsidRPr="00F032FA">
        <w:rPr>
          <w:b/>
          <w:color w:val="auto"/>
          <w:sz w:val="28"/>
          <w:szCs w:val="28"/>
        </w:rPr>
        <w:t>PARTICIPACIÓN CIUDA</w:t>
      </w:r>
      <w:r w:rsidR="009F2FEE" w:rsidRPr="00F032FA">
        <w:rPr>
          <w:b/>
          <w:color w:val="auto"/>
          <w:sz w:val="28"/>
          <w:szCs w:val="28"/>
        </w:rPr>
        <w:t>DA</w:t>
      </w:r>
      <w:r w:rsidRPr="00F032FA">
        <w:rPr>
          <w:b/>
          <w:color w:val="auto"/>
          <w:sz w:val="28"/>
          <w:szCs w:val="28"/>
        </w:rPr>
        <w:t>NA</w:t>
      </w:r>
    </w:p>
    <w:p w:rsidR="00180E43" w:rsidRPr="00F032FA" w:rsidRDefault="007D340A" w:rsidP="00F032FA">
      <w:pPr>
        <w:pStyle w:val="Ttulo1"/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F032FA">
        <w:rPr>
          <w:b/>
          <w:color w:val="auto"/>
          <w:sz w:val="28"/>
          <w:szCs w:val="28"/>
        </w:rPr>
        <w:t xml:space="preserve">EN </w:t>
      </w:r>
      <w:r w:rsidR="00EA02DE" w:rsidRPr="00F032FA">
        <w:rPr>
          <w:b/>
          <w:color w:val="auto"/>
          <w:sz w:val="28"/>
          <w:szCs w:val="28"/>
        </w:rPr>
        <w:t xml:space="preserve">SEGUNDO </w:t>
      </w:r>
      <w:r w:rsidRPr="00F032FA">
        <w:rPr>
          <w:b/>
          <w:color w:val="auto"/>
          <w:sz w:val="28"/>
          <w:szCs w:val="28"/>
        </w:rPr>
        <w:t>TRIMESTRE 202</w:t>
      </w:r>
      <w:r w:rsidR="00985AC2" w:rsidRPr="00F032FA">
        <w:rPr>
          <w:b/>
          <w:color w:val="auto"/>
          <w:sz w:val="28"/>
          <w:szCs w:val="28"/>
        </w:rPr>
        <w:t>3</w:t>
      </w:r>
    </w:p>
    <w:p w:rsidR="00F032FA" w:rsidRPr="00F032FA" w:rsidRDefault="00F032FA" w:rsidP="00AF5C4B">
      <w:pPr>
        <w:spacing w:line="240" w:lineRule="auto"/>
        <w:rPr>
          <w:rFonts w:cstheme="minorHAnsi"/>
        </w:rPr>
      </w:pPr>
    </w:p>
    <w:p w:rsidR="003B5F2D" w:rsidRDefault="00F032FA" w:rsidP="00AF5C4B">
      <w:pPr>
        <w:spacing w:line="240" w:lineRule="auto"/>
        <w:jc w:val="both"/>
      </w:pPr>
      <w:r w:rsidRPr="00F032FA">
        <w:t>Una de las funciones de la Gerencia de Gestión Social es impul</w:t>
      </w:r>
      <w:r>
        <w:t xml:space="preserve">sar la participación ciudadana en los procesos de la obra pública, facilitando un canal de comunicación y </w:t>
      </w:r>
      <w:r w:rsidR="00AF5C4B">
        <w:t xml:space="preserve">coordinación </w:t>
      </w:r>
      <w:r>
        <w:t>entre Ministerio</w:t>
      </w:r>
      <w:r w:rsidR="00AF5C4B">
        <w:t xml:space="preserve">, </w:t>
      </w:r>
      <w:r w:rsidR="00AF5C4B" w:rsidRPr="00F032FA">
        <w:t>municipalidades</w:t>
      </w:r>
      <w:r w:rsidR="00290BF8">
        <w:t xml:space="preserve">, </w:t>
      </w:r>
      <w:r w:rsidR="00AF5C4B" w:rsidRPr="00F032FA">
        <w:t>otras dependencias de gobierno, organizaciones comunitarias, y otros actores locales que demandan la realización de obras públicas</w:t>
      </w:r>
      <w:r>
        <w:t xml:space="preserve"> ciudadanía, </w:t>
      </w:r>
      <w:r w:rsidRPr="00F032FA">
        <w:t>en e</w:t>
      </w:r>
      <w:r w:rsidR="003B5F2D">
        <w:t xml:space="preserve">l </w:t>
      </w:r>
      <w:r>
        <w:t xml:space="preserve">segundo </w:t>
      </w:r>
      <w:r w:rsidRPr="00F032FA">
        <w:t xml:space="preserve">trimestre del año 2023 </w:t>
      </w:r>
      <w:r w:rsidR="003B5F2D">
        <w:t xml:space="preserve">esta función </w:t>
      </w:r>
      <w:r w:rsidRPr="00F032FA">
        <w:t>implicó el contacto con</w:t>
      </w:r>
      <w:r w:rsidR="003B5F2D">
        <w:t xml:space="preserve"> más de tres mil personas (3,000) </w:t>
      </w:r>
      <w:r w:rsidRPr="00F032FA">
        <w:t xml:space="preserve">de manera indirecta, y </w:t>
      </w:r>
      <w:r w:rsidR="003B5F2D">
        <w:t>aproximadamente quinientas personas de manera directa de las cuales se calcula un 45% de participación de mujeres y un 10%.de personas menores de 35 años (juventud).</w:t>
      </w:r>
    </w:p>
    <w:p w:rsidR="003B5F2D" w:rsidRDefault="003B5F2D" w:rsidP="00AF5C4B">
      <w:pPr>
        <w:spacing w:line="240" w:lineRule="auto"/>
        <w:jc w:val="both"/>
      </w:pPr>
    </w:p>
    <w:p w:rsidR="00F032FA" w:rsidRPr="00F032FA" w:rsidRDefault="00F032FA" w:rsidP="00AF5C4B">
      <w:pPr>
        <w:spacing w:line="240" w:lineRule="auto"/>
        <w:jc w:val="both"/>
      </w:pPr>
      <w:r w:rsidRPr="00F032FA">
        <w:t xml:space="preserve">Se desarrollaron un total de </w:t>
      </w:r>
      <w:r w:rsidR="003B5F2D">
        <w:t>2</w:t>
      </w:r>
      <w:r w:rsidR="00621F19">
        <w:t>78</w:t>
      </w:r>
      <w:r w:rsidR="003B5F2D">
        <w:t xml:space="preserve"> actividades </w:t>
      </w:r>
      <w:r w:rsidRPr="00F032FA">
        <w:t xml:space="preserve">con participación ciudadana </w:t>
      </w:r>
      <w:r w:rsidR="003B5F2D">
        <w:t xml:space="preserve">que corresponden a una etapa </w:t>
      </w:r>
      <w:r w:rsidRPr="00F032FA">
        <w:t>de la gestión de la obra pública</w:t>
      </w:r>
      <w:r w:rsidR="003B5F2D">
        <w:t>, más 100 casos atendidos por medio del espacio denominado “teléfono abierto”, haciendo un total trimestral de 3</w:t>
      </w:r>
      <w:r w:rsidR="00621F19">
        <w:t>78</w:t>
      </w:r>
      <w:r w:rsidR="003B5F2D">
        <w:t xml:space="preserve"> actividades.</w:t>
      </w:r>
    </w:p>
    <w:p w:rsidR="009F2FEE" w:rsidRPr="00F032FA" w:rsidRDefault="009F2FEE" w:rsidP="00AF5C4B">
      <w:pPr>
        <w:spacing w:line="240" w:lineRule="auto"/>
        <w:jc w:val="both"/>
      </w:pPr>
    </w:p>
    <w:p w:rsidR="00AF5C4B" w:rsidRDefault="009F2FEE" w:rsidP="00AF5C4B">
      <w:pPr>
        <w:spacing w:line="240" w:lineRule="auto"/>
        <w:jc w:val="both"/>
      </w:pPr>
      <w:r w:rsidRPr="00F032FA">
        <w:t xml:space="preserve">Los espacios y mecanismos desarrollados </w:t>
      </w:r>
      <w:r w:rsidR="00AF5C4B">
        <w:t xml:space="preserve">por la Gerencia de Gestión Social (GGS) están plasmados en </w:t>
      </w:r>
      <w:r w:rsidR="00AF5C4B" w:rsidRPr="00F032FA">
        <w:t xml:space="preserve">un Manual de Participación Ciudadana; </w:t>
      </w:r>
      <w:r w:rsidR="00AF5C4B">
        <w:t xml:space="preserve">que </w:t>
      </w:r>
      <w:r w:rsidR="00AF5C4B" w:rsidRPr="00F032FA">
        <w:t>está en proceso de revisión y actualización</w:t>
      </w:r>
      <w:r w:rsidR="00AF5C4B">
        <w:t>, éstos desarrollan una de las siguientes funciones:</w:t>
      </w:r>
    </w:p>
    <w:p w:rsidR="009F2FEE" w:rsidRPr="00F032FA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F032FA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Informativos: cuando se provee de información relacionada con la gestión que realiza el MOPT, como un factor clave para que la ciudadanía pueda emitir opinión o tomar decisiones en forma consciente y responsable</w:t>
      </w:r>
      <w:r w:rsidR="00AF5C4B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.</w:t>
      </w:r>
    </w:p>
    <w:p w:rsidR="009F2FEE" w:rsidRPr="00F032FA" w:rsidRDefault="009F2FEE" w:rsidP="009F2FEE">
      <w:pPr>
        <w:pStyle w:val="Prrafodelista"/>
        <w:spacing w:line="276" w:lineRule="auto"/>
        <w:ind w:left="567" w:hanging="283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9F2FEE" w:rsidRPr="00F032FA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F032FA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Consultivos: cuando se profundiza en la participación ciudadana, ya que MOPT se vuelve una instancia a través de la cual podrá acompañar la toma de decisiones y hacer el seguimiento de las acciones o la gestión impulsada por los servicios que la ciudadanía ha solicitado.</w:t>
      </w:r>
    </w:p>
    <w:p w:rsidR="009F2FEE" w:rsidRPr="00F032FA" w:rsidRDefault="009F2FEE" w:rsidP="009F2FEE">
      <w:pPr>
        <w:pStyle w:val="Prrafodelista"/>
        <w:spacing w:line="276" w:lineRule="auto"/>
        <w:ind w:left="567" w:hanging="283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9F2FEE" w:rsidRPr="00F032FA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F032FA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Resolutivos: aquellos mecanismos que tienen la capacidad de resolver o de buscar la solución a una situación que así lo requiera y que afecte a la ciudadanía de un lugar determinado.</w:t>
      </w:r>
    </w:p>
    <w:p w:rsidR="009F2FEE" w:rsidRPr="00F032FA" w:rsidRDefault="009F2FEE" w:rsidP="007D340A">
      <w:pPr>
        <w:jc w:val="both"/>
        <w:rPr>
          <w:rFonts w:cstheme="minorHAnsi"/>
        </w:rPr>
      </w:pPr>
    </w:p>
    <w:p w:rsidR="00A2326B" w:rsidRDefault="00A2326B">
      <w:r>
        <w:br w:type="page"/>
      </w:r>
    </w:p>
    <w:p w:rsidR="009F2FEE" w:rsidRDefault="009F2FEE" w:rsidP="007D340A">
      <w:pPr>
        <w:jc w:val="both"/>
      </w:pPr>
    </w:p>
    <w:p w:rsidR="00A02696" w:rsidRDefault="00621F19" w:rsidP="007D340A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264160</wp:posOffset>
            </wp:positionV>
            <wp:extent cx="5534025" cy="3390900"/>
            <wp:effectExtent l="0" t="0" r="9525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696" w:rsidRDefault="00A02696" w:rsidP="007D340A">
      <w:pPr>
        <w:jc w:val="both"/>
      </w:pPr>
    </w:p>
    <w:p w:rsidR="00A2326B" w:rsidRDefault="00A2326B" w:rsidP="007D340A">
      <w:pPr>
        <w:jc w:val="both"/>
      </w:pPr>
    </w:p>
    <w:p w:rsidR="00A2326B" w:rsidRDefault="006071AA" w:rsidP="007D340A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567F4E0B" wp14:editId="6CE1ED96">
                <wp:simplePos x="0" y="0"/>
                <wp:positionH relativeFrom="column">
                  <wp:posOffset>396240</wp:posOffset>
                </wp:positionH>
                <wp:positionV relativeFrom="paragraph">
                  <wp:posOffset>75565</wp:posOffset>
                </wp:positionV>
                <wp:extent cx="5534025" cy="1000125"/>
                <wp:effectExtent l="19050" t="1905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1AA" w:rsidRDefault="006071AA" w:rsidP="006071AA">
                            <w:pPr>
                              <w:jc w:val="both"/>
                            </w:pPr>
                            <w:r>
                              <w:t xml:space="preserve">La gráfica muestra el total de espacios y mecanismos desarrollados mensualmente, durante el </w:t>
                            </w:r>
                            <w:r w:rsidR="006040CF">
                              <w:t xml:space="preserve">segundo </w:t>
                            </w:r>
                            <w:r>
                              <w:t xml:space="preserve">trimestre de 2023. Este dato no incluye el espacio de “Teléfono Abierto”, ni la gestión social realizada en proyectos de nación como el Aeropuerto del Pacífico, Tren del Pacífico, </w:t>
                            </w:r>
                            <w:r w:rsidR="006040CF">
                              <w:t xml:space="preserve">entre otros, </w:t>
                            </w:r>
                            <w:r>
                              <w:t>que por su dimensión tienen personal social directo que generan informes específicos.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F4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.2pt;margin-top:5.95pt;width:435.75pt;height:78.7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" strokecolor="#2e75b6" strokeweight="2.25pt">
                <v:textbox>
                  <w:txbxContent>
                    <w:p w:rsidR="006071AA" w:rsidRDefault="006071AA" w:rsidP="006071AA">
                      <w:pPr>
                        <w:jc w:val="both"/>
                      </w:pPr>
                      <w:r>
                        <w:t xml:space="preserve">La gráfica muestra el total de espacios y mecanismos desarrollados mensualmente, durante el </w:t>
                      </w:r>
                      <w:r w:rsidR="006040CF">
                        <w:t xml:space="preserve">segundo </w:t>
                      </w:r>
                      <w:r>
                        <w:t xml:space="preserve">trimestre de 2023. Este dato no incluye el espacio de “Teléfono Abierto”, ni la gestión social realizada en proyectos de nación como el Aeropuerto del Pacífico, Tren del Pacífico, </w:t>
                      </w:r>
                      <w:r w:rsidR="006040CF">
                        <w:t xml:space="preserve">entre otros, </w:t>
                      </w:r>
                      <w:r>
                        <w:t>que por su dimensión tienen personal social directo que generan informes específicos.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26B" w:rsidRDefault="00A2326B" w:rsidP="007D340A">
      <w:pPr>
        <w:jc w:val="both"/>
      </w:pPr>
    </w:p>
    <w:p w:rsidR="006071AA" w:rsidRDefault="006071AA" w:rsidP="007D340A">
      <w:pPr>
        <w:jc w:val="both"/>
      </w:pPr>
    </w:p>
    <w:p w:rsidR="006071AA" w:rsidRDefault="006071AA" w:rsidP="007D340A">
      <w:pPr>
        <w:jc w:val="both"/>
      </w:pPr>
    </w:p>
    <w:p w:rsidR="006071AA" w:rsidRDefault="006071AA" w:rsidP="007D340A">
      <w:pPr>
        <w:jc w:val="both"/>
      </w:pPr>
    </w:p>
    <w:p w:rsidR="00A2326B" w:rsidRDefault="00A2326B" w:rsidP="007D340A">
      <w:pPr>
        <w:jc w:val="both"/>
      </w:pPr>
    </w:p>
    <w:p w:rsidR="00A2326B" w:rsidRDefault="00A2326B">
      <w:r>
        <w:br w:type="page"/>
      </w:r>
    </w:p>
    <w:p w:rsidR="00A02696" w:rsidRDefault="006040CF" w:rsidP="007D340A">
      <w:pPr>
        <w:jc w:val="both"/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197485</wp:posOffset>
            </wp:positionV>
            <wp:extent cx="5657850" cy="3647440"/>
            <wp:effectExtent l="0" t="0" r="0" b="1016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</w:p>
    <w:p w:rsidR="009F2FEE" w:rsidRDefault="006040CF" w:rsidP="007D340A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7C75166" wp14:editId="548A79CA">
                <wp:simplePos x="0" y="0"/>
                <wp:positionH relativeFrom="column">
                  <wp:posOffset>281940</wp:posOffset>
                </wp:positionH>
                <wp:positionV relativeFrom="paragraph">
                  <wp:posOffset>3807460</wp:posOffset>
                </wp:positionV>
                <wp:extent cx="5810250" cy="1343025"/>
                <wp:effectExtent l="19050" t="1905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96" w:rsidRDefault="00A02696" w:rsidP="003A3199">
                            <w:pPr>
                              <w:jc w:val="both"/>
                            </w:pPr>
                            <w:r>
                              <w:t xml:space="preserve">La grafica muestra la frecuencia de </w:t>
                            </w:r>
                            <w:r w:rsidR="009F2FEE">
                              <w:t>acciones de participación ciudadana</w:t>
                            </w:r>
                            <w:r>
                              <w:t xml:space="preserve">, con las que </w:t>
                            </w:r>
                            <w:r w:rsidR="009F2FEE">
                              <w:t xml:space="preserve">se dio atención </w:t>
                            </w:r>
                            <w:r>
                              <w:t xml:space="preserve">en </w:t>
                            </w:r>
                            <w:r w:rsidR="003C12E4">
                              <w:t xml:space="preserve">11 </w:t>
                            </w:r>
                            <w:r w:rsidR="009F2FEE">
                              <w:t>departamentos</w:t>
                            </w:r>
                            <w:r>
                              <w:t xml:space="preserve">, así: San Salvador ocupando el primer lugar en frecuencia de atención, realizándose </w:t>
                            </w:r>
                            <w:r w:rsidR="00C91054">
                              <w:t xml:space="preserve">ochenta y dos </w:t>
                            </w:r>
                            <w:r w:rsidR="009F2FEE">
                              <w:t>(</w:t>
                            </w:r>
                            <w:r w:rsidR="00C91054">
                              <w:t>82</w:t>
                            </w:r>
                            <w:r w:rsidR="009F2FEE">
                              <w:t xml:space="preserve">), </w:t>
                            </w:r>
                            <w:r>
                              <w:t>L</w:t>
                            </w:r>
                            <w:r w:rsidR="009F2FEE">
                              <w:t xml:space="preserve">a Libertad </w:t>
                            </w:r>
                            <w:r>
                              <w:t xml:space="preserve">con </w:t>
                            </w:r>
                            <w:r w:rsidR="00C91054">
                              <w:t xml:space="preserve">veinticinco </w:t>
                            </w:r>
                            <w:r w:rsidR="009F2FEE">
                              <w:t>(</w:t>
                            </w:r>
                            <w:r w:rsidR="00C91054">
                              <w:t>25</w:t>
                            </w:r>
                            <w:r w:rsidR="009F2FEE">
                              <w:t>)</w:t>
                            </w:r>
                            <w:r>
                              <w:t xml:space="preserve"> atenciones ocupa el segundo </w:t>
                            </w:r>
                            <w:r w:rsidR="009F2FEE">
                              <w:t xml:space="preserve">y </w:t>
                            </w:r>
                            <w:r w:rsidR="00C91054">
                              <w:t xml:space="preserve">Sonsonate </w:t>
                            </w:r>
                            <w:r>
                              <w:t xml:space="preserve">con quince </w:t>
                            </w:r>
                            <w:r w:rsidR="009F2FEE">
                              <w:t>(1</w:t>
                            </w:r>
                            <w:r w:rsidR="00C91054">
                              <w:t>5</w:t>
                            </w:r>
                            <w:r w:rsidR="009F2FEE">
                              <w:t>)</w:t>
                            </w:r>
                            <w:r>
                              <w:t xml:space="preserve"> es el tercero. </w:t>
                            </w:r>
                          </w:p>
                          <w:p w:rsidR="009F2FEE" w:rsidRDefault="00A02696" w:rsidP="003A3199">
                            <w:pPr>
                              <w:jc w:val="both"/>
                            </w:pPr>
                            <w:r>
                              <w:t>En el segundo trim</w:t>
                            </w:r>
                            <w:r w:rsidR="00C91054">
                              <w:t>estre</w:t>
                            </w:r>
                            <w:r>
                              <w:t xml:space="preserve"> del 2023</w:t>
                            </w:r>
                            <w:r w:rsidR="00C91054">
                              <w:t xml:space="preserve"> no se realizaron atenciones en Mor</w:t>
                            </w:r>
                            <w:r w:rsidR="009F2FEE">
                              <w:t>azán</w:t>
                            </w:r>
                            <w:r w:rsidR="00842297">
                              <w:t>, Cuscatlán y</w:t>
                            </w:r>
                            <w:r w:rsidR="00C91054">
                              <w:t xml:space="preserve"> Chalatenango.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75166" id="_x0000_s1027" type="#_x0000_t202" style="position:absolute;left:0;text-align:left;margin-left:22.2pt;margin-top:299.8pt;width:457.5pt;height:10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" strokecolor="#9dc3e6" strokeweight="2.25pt">
                <v:textbox>
                  <w:txbxContent>
                    <w:p w:rsidR="00A02696" w:rsidRDefault="00A02696" w:rsidP="003A3199">
                      <w:pPr>
                        <w:jc w:val="both"/>
                      </w:pPr>
                      <w:r>
                        <w:t xml:space="preserve">La grafica muestra la frecuencia de </w:t>
                      </w:r>
                      <w:r w:rsidR="009F2FEE">
                        <w:t>acciones de participación ciudadana</w:t>
                      </w:r>
                      <w:r>
                        <w:t xml:space="preserve">, con las que </w:t>
                      </w:r>
                      <w:r w:rsidR="009F2FEE">
                        <w:t xml:space="preserve">se dio atención </w:t>
                      </w:r>
                      <w:r>
                        <w:t xml:space="preserve">en </w:t>
                      </w:r>
                      <w:r w:rsidR="003C12E4">
                        <w:t xml:space="preserve">11 </w:t>
                      </w:r>
                      <w:r w:rsidR="009F2FEE">
                        <w:t>departamentos</w:t>
                      </w:r>
                      <w:r>
                        <w:t xml:space="preserve">, así: San Salvador ocupando el primer lugar en frecuencia de atención, realizándose </w:t>
                      </w:r>
                      <w:r w:rsidR="00C91054">
                        <w:t xml:space="preserve">ochenta y dos </w:t>
                      </w:r>
                      <w:r w:rsidR="009F2FEE">
                        <w:t>(</w:t>
                      </w:r>
                      <w:r w:rsidR="00C91054">
                        <w:t>82</w:t>
                      </w:r>
                      <w:r w:rsidR="009F2FEE">
                        <w:t xml:space="preserve">), </w:t>
                      </w:r>
                      <w:r>
                        <w:t>L</w:t>
                      </w:r>
                      <w:r w:rsidR="009F2FEE">
                        <w:t xml:space="preserve">a Libertad </w:t>
                      </w:r>
                      <w:r>
                        <w:t xml:space="preserve">con </w:t>
                      </w:r>
                      <w:r w:rsidR="00C91054">
                        <w:t xml:space="preserve">veinticinco </w:t>
                      </w:r>
                      <w:r w:rsidR="009F2FEE">
                        <w:t>(</w:t>
                      </w:r>
                      <w:r w:rsidR="00C91054">
                        <w:t>25</w:t>
                      </w:r>
                      <w:r w:rsidR="009F2FEE">
                        <w:t>)</w:t>
                      </w:r>
                      <w:r>
                        <w:t xml:space="preserve"> atenciones ocupa el segundo </w:t>
                      </w:r>
                      <w:r w:rsidR="009F2FEE">
                        <w:t xml:space="preserve">y </w:t>
                      </w:r>
                      <w:r w:rsidR="00C91054">
                        <w:t xml:space="preserve">Sonsonate </w:t>
                      </w:r>
                      <w:r>
                        <w:t xml:space="preserve">con quince </w:t>
                      </w:r>
                      <w:r w:rsidR="009F2FEE">
                        <w:t>(1</w:t>
                      </w:r>
                      <w:r w:rsidR="00C91054">
                        <w:t>5</w:t>
                      </w:r>
                      <w:r w:rsidR="009F2FEE">
                        <w:t>)</w:t>
                      </w:r>
                      <w:r>
                        <w:t xml:space="preserve"> es el tercero. </w:t>
                      </w:r>
                    </w:p>
                    <w:p w:rsidR="009F2FEE" w:rsidRDefault="00A02696" w:rsidP="003A3199">
                      <w:pPr>
                        <w:jc w:val="both"/>
                      </w:pPr>
                      <w:r>
                        <w:t>En el segundo trim</w:t>
                      </w:r>
                      <w:r w:rsidR="00C91054">
                        <w:t>estre</w:t>
                      </w:r>
                      <w:r>
                        <w:t xml:space="preserve"> del 2023</w:t>
                      </w:r>
                      <w:r w:rsidR="00C91054">
                        <w:t xml:space="preserve"> no se realizaron atenciones en Mor</w:t>
                      </w:r>
                      <w:r w:rsidR="009F2FEE">
                        <w:t>azán</w:t>
                      </w:r>
                      <w:r w:rsidR="00842297">
                        <w:t>, Cuscatlán y</w:t>
                      </w:r>
                      <w:r w:rsidR="00C91054">
                        <w:t xml:space="preserve"> Chalatenango.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3199" w:rsidRDefault="003A3199" w:rsidP="003C12E4"/>
    <w:p w:rsidR="003A3199" w:rsidRDefault="003A3199" w:rsidP="003C12E4"/>
    <w:p w:rsidR="003A3199" w:rsidRDefault="003A3199" w:rsidP="003C12E4"/>
    <w:p w:rsidR="003A3199" w:rsidRDefault="003A3199" w:rsidP="003C12E4"/>
    <w:p w:rsidR="003A3199" w:rsidRDefault="003A319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621F19" w:rsidRDefault="00621F19" w:rsidP="003C12E4"/>
    <w:p w:rsidR="003A3199" w:rsidRDefault="003A3199">
      <w:r>
        <w:br w:type="page"/>
      </w:r>
    </w:p>
    <w:p w:rsidR="00A2326B" w:rsidRDefault="00C87BF5">
      <w:r>
        <w:rPr>
          <w:noProof/>
          <w:lang w:eastAsia="es-SV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283210</wp:posOffset>
            </wp:positionV>
            <wp:extent cx="5781675" cy="5715000"/>
            <wp:effectExtent l="0" t="0" r="9525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199" w:rsidRDefault="003A3199" w:rsidP="003C12E4"/>
    <w:p w:rsidR="00161A09" w:rsidRDefault="00161A09" w:rsidP="003C12E4"/>
    <w:p w:rsidR="003A3199" w:rsidRDefault="003A3199" w:rsidP="003C12E4"/>
    <w:p w:rsidR="00161A09" w:rsidRDefault="00161A09" w:rsidP="003C12E4"/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A2326B" w:rsidRDefault="00C87BF5" w:rsidP="00462C30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3B60460" wp14:editId="18D295F8">
                <wp:simplePos x="0" y="0"/>
                <wp:positionH relativeFrom="column">
                  <wp:posOffset>424815</wp:posOffset>
                </wp:positionH>
                <wp:positionV relativeFrom="paragraph">
                  <wp:posOffset>142875</wp:posOffset>
                </wp:positionV>
                <wp:extent cx="5572125" cy="638175"/>
                <wp:effectExtent l="19050" t="19050" r="28575" b="2857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96" w:rsidRDefault="00A02696" w:rsidP="00D21FFB">
                            <w:pPr>
                              <w:jc w:val="both"/>
                            </w:pPr>
                            <w:r>
                              <w:t>La grafica muestra la cobertura de atención</w:t>
                            </w:r>
                            <w:r w:rsidR="00462C30">
                              <w:t xml:space="preserve"> por municipio, atendiéndose </w:t>
                            </w:r>
                            <w:r>
                              <w:t xml:space="preserve">43 municipios </w:t>
                            </w:r>
                            <w:r w:rsidR="00462C30">
                              <w:t>durante el segundo trimestre de 2023.</w:t>
                            </w:r>
                            <w:r w:rsidR="006040CF">
                              <w:t xml:space="preserve"> Destacando San Salvador como</w:t>
                            </w:r>
                            <w:r w:rsidR="00C87BF5">
                              <w:t xml:space="preserve"> el municipio con más acciones brindadas.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0460" id="_x0000_s1028" type="#_x0000_t202" style="position:absolute;left:0;text-align:left;margin-left:33.45pt;margin-top:11.25pt;width:438.75pt;height:50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" strokecolor="#9dc3e6" strokeweight="2.25pt">
                <v:textbox>
                  <w:txbxContent>
                    <w:p w:rsidR="00A02696" w:rsidRDefault="00A02696" w:rsidP="00D21FFB">
                      <w:pPr>
                        <w:jc w:val="both"/>
                      </w:pPr>
                      <w:r>
                        <w:t>La grafica muestra la cobertura de atención</w:t>
                      </w:r>
                      <w:r w:rsidR="00462C30">
                        <w:t xml:space="preserve"> por municipio, atendiéndose </w:t>
                      </w:r>
                      <w:r>
                        <w:t xml:space="preserve">43 municipios </w:t>
                      </w:r>
                      <w:r w:rsidR="00462C30">
                        <w:t>durante el segundo trimestre de 2023.</w:t>
                      </w:r>
                      <w:r w:rsidR="006040CF">
                        <w:t xml:space="preserve"> Destacando San Salvador como</w:t>
                      </w:r>
                      <w:r w:rsidR="00C87BF5">
                        <w:t xml:space="preserve"> el municipio con más acciones brindadas.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326B" w:rsidRDefault="00A2326B" w:rsidP="00462C30">
      <w:pPr>
        <w:jc w:val="both"/>
      </w:pPr>
    </w:p>
    <w:p w:rsidR="00A2326B" w:rsidRDefault="00A2326B" w:rsidP="00462C30">
      <w:pPr>
        <w:jc w:val="both"/>
      </w:pPr>
    </w:p>
    <w:p w:rsidR="002B308A" w:rsidRDefault="002B308A">
      <w:r>
        <w:br w:type="page"/>
      </w:r>
    </w:p>
    <w:p w:rsidR="00337534" w:rsidRDefault="00337534" w:rsidP="00337534">
      <w:pPr>
        <w:spacing w:after="0" w:line="240" w:lineRule="auto"/>
      </w:pPr>
    </w:p>
    <w:p w:rsidR="00426348" w:rsidRDefault="00426348">
      <w:bookmarkStart w:id="0" w:name="_GoBack"/>
      <w:bookmarkEnd w:id="0"/>
    </w:p>
    <w:p w:rsidR="003D371F" w:rsidRDefault="007A0E05">
      <w:r>
        <w:rPr>
          <w:noProof/>
          <w:lang w:eastAsia="es-SV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8255</wp:posOffset>
            </wp:positionV>
            <wp:extent cx="5781675" cy="4029075"/>
            <wp:effectExtent l="0" t="0" r="9525" b="9525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71F" w:rsidRDefault="003D371F"/>
    <w:p w:rsidR="003D371F" w:rsidRDefault="003D371F"/>
    <w:p w:rsidR="003D371F" w:rsidRDefault="003D371F"/>
    <w:p w:rsidR="007A0E05" w:rsidRDefault="007A0E05"/>
    <w:p w:rsidR="007A0E05" w:rsidRDefault="007A0E05"/>
    <w:p w:rsidR="007A0E05" w:rsidRDefault="007A0E05"/>
    <w:p w:rsidR="007A0E05" w:rsidRDefault="007A0E05"/>
    <w:p w:rsidR="007A0E05" w:rsidRDefault="007A0E05"/>
    <w:p w:rsidR="007A0E05" w:rsidRDefault="007A0E05"/>
    <w:p w:rsidR="007A0E05" w:rsidRDefault="007A0E05"/>
    <w:p w:rsidR="00885E00" w:rsidRDefault="00885E00"/>
    <w:p w:rsidR="001764FB" w:rsidRDefault="001764FB"/>
    <w:p w:rsidR="007A0E05" w:rsidRDefault="007A0E05"/>
    <w:p w:rsidR="007A0E05" w:rsidRDefault="007A0E0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000FE" wp14:editId="43E30097">
                <wp:simplePos x="0" y="0"/>
                <wp:positionH relativeFrom="column">
                  <wp:posOffset>347980</wp:posOffset>
                </wp:positionH>
                <wp:positionV relativeFrom="paragraph">
                  <wp:posOffset>247650</wp:posOffset>
                </wp:positionV>
                <wp:extent cx="5781675" cy="1343025"/>
                <wp:effectExtent l="19050" t="1905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B4" w:rsidRDefault="00EB12E4" w:rsidP="00CF6AB4">
                            <w:pPr>
                              <w:jc w:val="both"/>
                            </w:pPr>
                            <w:r>
                              <w:t>La gráfica muestr</w:t>
                            </w:r>
                            <w:r w:rsidR="00A66D3C">
                              <w:t xml:space="preserve">a las </w:t>
                            </w:r>
                            <w:r w:rsidR="001764FB">
                              <w:t>a</w:t>
                            </w:r>
                            <w:r w:rsidR="00A66D3C">
                              <w:t>c</w:t>
                            </w:r>
                            <w:r w:rsidR="00885E00">
                              <w:t xml:space="preserve">tividades </w:t>
                            </w:r>
                            <w:r w:rsidR="00A66D3C">
                              <w:t>realizadas con participación ciudadana d</w:t>
                            </w:r>
                            <w:r>
                              <w:t xml:space="preserve">urante el </w:t>
                            </w:r>
                            <w:r w:rsidR="00885E00">
                              <w:t xml:space="preserve">segundo </w:t>
                            </w:r>
                            <w:r>
                              <w:t>trimestre de 202</w:t>
                            </w:r>
                            <w:r w:rsidR="00A66D3C">
                              <w:t>3</w:t>
                            </w:r>
                            <w:r w:rsidR="00FF038F">
                              <w:t>, exceptuando el espacio de “Teléfono Abierto” que se presentará en gráfica individual. O</w:t>
                            </w:r>
                            <w:r w:rsidR="001764FB">
                              <w:t xml:space="preserve">bteniendo </w:t>
                            </w:r>
                            <w:r w:rsidR="00A66D3C">
                              <w:t xml:space="preserve">mayor </w:t>
                            </w:r>
                            <w:r w:rsidR="00A66D3C" w:rsidRPr="00FF038F">
                              <w:t>frecuencia “La</w:t>
                            </w:r>
                            <w:r w:rsidR="001764FB" w:rsidRPr="00FF038F">
                              <w:t>s Inspecciones</w:t>
                            </w:r>
                            <w:r w:rsidR="00A66D3C" w:rsidRPr="00FF038F">
                              <w:t>”</w:t>
                            </w:r>
                            <w:r w:rsidR="001764FB" w:rsidRPr="00FF038F">
                              <w:t xml:space="preserve"> realizándose en el mes de abril 5, en mayo 25 y en junio 17 para un total de </w:t>
                            </w:r>
                            <w:r w:rsidR="001764FB" w:rsidRPr="00F95022">
                              <w:rPr>
                                <w:b/>
                              </w:rPr>
                              <w:t>47.</w:t>
                            </w:r>
                            <w:r w:rsidR="001764FB" w:rsidRPr="00FF038F">
                              <w:t xml:space="preserve"> En segundo lugar</w:t>
                            </w:r>
                            <w:r w:rsidR="001764FB">
                              <w:t xml:space="preserve"> está la “Atención y orientación de la ciudadanía en la oficina” con un total de </w:t>
                            </w:r>
                            <w:r w:rsidR="001764FB" w:rsidRPr="00F95022">
                              <w:rPr>
                                <w:b/>
                              </w:rPr>
                              <w:t xml:space="preserve">28 </w:t>
                            </w:r>
                            <w:r w:rsidR="001764FB">
                              <w:t xml:space="preserve">en el trimestres y “Reuniones con representantes de ADESCOS </w:t>
                            </w:r>
                            <w:r w:rsidR="00FF038F">
                              <w:t>y</w:t>
                            </w:r>
                            <w:r w:rsidR="001764FB">
                              <w:t>/</w:t>
                            </w:r>
                            <w:r w:rsidR="00FF038F">
                              <w:t>o</w:t>
                            </w:r>
                            <w:r w:rsidR="001764FB">
                              <w:t xml:space="preserve"> Juntas Directivas” con </w:t>
                            </w:r>
                            <w:r w:rsidR="001764FB" w:rsidRPr="00F95022">
                              <w:rPr>
                                <w:b/>
                              </w:rPr>
                              <w:t xml:space="preserve">27 </w:t>
                            </w:r>
                            <w:r w:rsidR="001764FB">
                              <w:t>frecuencias en el trimestre.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00F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.4pt;margin-top:19.5pt;width:455.2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" strokecolor="#2e74b5 [2404]" strokeweight="2.25pt">
                <v:textbox>
                  <w:txbxContent>
                    <w:p w:rsidR="00CF6AB4" w:rsidRDefault="00EB12E4" w:rsidP="00CF6AB4">
                      <w:pPr>
                        <w:jc w:val="both"/>
                      </w:pPr>
                      <w:r>
                        <w:t>La gráfica muestr</w:t>
                      </w:r>
                      <w:r w:rsidR="00A66D3C">
                        <w:t xml:space="preserve">a las </w:t>
                      </w:r>
                      <w:r w:rsidR="001764FB">
                        <w:t>a</w:t>
                      </w:r>
                      <w:r w:rsidR="00A66D3C">
                        <w:t>c</w:t>
                      </w:r>
                      <w:r w:rsidR="00885E00">
                        <w:t xml:space="preserve">tividades </w:t>
                      </w:r>
                      <w:r w:rsidR="00A66D3C">
                        <w:t>realizadas con participación ciudadana d</w:t>
                      </w:r>
                      <w:r>
                        <w:t xml:space="preserve">urante el </w:t>
                      </w:r>
                      <w:r w:rsidR="00885E00">
                        <w:t xml:space="preserve">segundo </w:t>
                      </w:r>
                      <w:r>
                        <w:t>trimestre de 202</w:t>
                      </w:r>
                      <w:r w:rsidR="00A66D3C">
                        <w:t>3</w:t>
                      </w:r>
                      <w:r w:rsidR="00FF038F">
                        <w:t>, exceptuando el espacio de “Teléfono Abierto” que se presentará en gráfica individual. O</w:t>
                      </w:r>
                      <w:r w:rsidR="001764FB">
                        <w:t xml:space="preserve">bteniendo </w:t>
                      </w:r>
                      <w:r w:rsidR="00A66D3C">
                        <w:t xml:space="preserve">mayor </w:t>
                      </w:r>
                      <w:r w:rsidR="00A66D3C" w:rsidRPr="00FF038F">
                        <w:t>frecuencia “La</w:t>
                      </w:r>
                      <w:r w:rsidR="001764FB" w:rsidRPr="00FF038F">
                        <w:t>s Inspecciones</w:t>
                      </w:r>
                      <w:r w:rsidR="00A66D3C" w:rsidRPr="00FF038F">
                        <w:t>”</w:t>
                      </w:r>
                      <w:r w:rsidR="001764FB" w:rsidRPr="00FF038F">
                        <w:t xml:space="preserve"> realizándose en el mes de abril 5, en mayo 25 y en junio 17 para un total de </w:t>
                      </w:r>
                      <w:r w:rsidR="001764FB" w:rsidRPr="00F95022">
                        <w:rPr>
                          <w:b/>
                        </w:rPr>
                        <w:t>47.</w:t>
                      </w:r>
                      <w:r w:rsidR="001764FB" w:rsidRPr="00FF038F">
                        <w:t xml:space="preserve"> En segundo lugar</w:t>
                      </w:r>
                      <w:r w:rsidR="001764FB">
                        <w:t xml:space="preserve"> está la “Atención y orientación de la ciudadanía en la oficina” con un total de </w:t>
                      </w:r>
                      <w:r w:rsidR="001764FB" w:rsidRPr="00F95022">
                        <w:rPr>
                          <w:b/>
                        </w:rPr>
                        <w:t xml:space="preserve">28 </w:t>
                      </w:r>
                      <w:r w:rsidR="001764FB">
                        <w:t xml:space="preserve">en el trimestres y “Reuniones con representantes de ADESCOS </w:t>
                      </w:r>
                      <w:r w:rsidR="00FF038F">
                        <w:t>y</w:t>
                      </w:r>
                      <w:r w:rsidR="001764FB">
                        <w:t>/</w:t>
                      </w:r>
                      <w:r w:rsidR="00FF038F">
                        <w:t>o</w:t>
                      </w:r>
                      <w:r w:rsidR="001764FB">
                        <w:t xml:space="preserve"> Juntas Directivas” con </w:t>
                      </w:r>
                      <w:r w:rsidR="001764FB" w:rsidRPr="00F95022">
                        <w:rPr>
                          <w:b/>
                        </w:rPr>
                        <w:t xml:space="preserve">27 </w:t>
                      </w:r>
                      <w:r w:rsidR="001764FB">
                        <w:t>frecuencias en el trimestre.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0E05" w:rsidRDefault="007A0E05"/>
    <w:p w:rsidR="007A0E05" w:rsidRDefault="007A0E05"/>
    <w:p w:rsidR="007A0E05" w:rsidRDefault="007A0E05"/>
    <w:p w:rsidR="007A0E05" w:rsidRDefault="007A0E05"/>
    <w:p w:rsidR="00B23CAD" w:rsidRDefault="00B23CAD">
      <w:r>
        <w:br w:type="page"/>
      </w:r>
    </w:p>
    <w:p w:rsidR="00F032FA" w:rsidRDefault="00F032FA"/>
    <w:p w:rsidR="00F032FA" w:rsidRDefault="00F032FA" w:rsidP="00F032FA">
      <w:pPr>
        <w:ind w:left="426"/>
        <w:jc w:val="both"/>
      </w:pPr>
      <w:r>
        <w:t>La gráfica siguiente nos presenta las llamadas recibidas en teléfono fijo de la oficina; a las que se les da seguimiento por medio de grupos de WhatsApp para la gestión de una solución a la problemática que la ciudadanía presenta, ya sea actuando directamente o derivando el caso según competencia a otras instancias del Sistema de Protección Civil, alcaldías, DOM u otros Ministerios.</w:t>
      </w:r>
    </w:p>
    <w:p w:rsidR="00F032FA" w:rsidRDefault="00F032FA" w:rsidP="00F032FA">
      <w:pPr>
        <w:ind w:left="426"/>
        <w:jc w:val="both"/>
      </w:pPr>
      <w:r>
        <w:t>El grafico no incluye las llamadas recibidas a las líneas celulares que se ponen a disposición de la ciudadanía para dar seguimiento al trabajo de gestión social en la obra pública; se estima que cada persona (gestor/a social) recibió diariamente en este segundo trimestre un promedio de 4 llamadas de casos diferentes, que requieren de otras para darles el seguimiento respectivo.</w:t>
      </w:r>
    </w:p>
    <w:p w:rsidR="00F032FA" w:rsidRDefault="00F032FA" w:rsidP="00F032FA">
      <w:pPr>
        <w:ind w:left="426"/>
        <w:jc w:val="both"/>
      </w:pPr>
      <w:r>
        <w:t>Se suma a esto las gestiones y atenciones telefónicas realizadas por el Gerente y Coordinador de la Gerencia de Gestión Social. Este espacio es el más utilizado por la ciudadanía ya que acorta distancia, tiempo, y resulta una gestión más ágil. Razón por la cual no dudamos que tenemos un sub-registro de todo lo realizado por la vía telefónica.</w:t>
      </w:r>
    </w:p>
    <w:p w:rsidR="00AF67C8" w:rsidRDefault="007A0E05">
      <w:r>
        <w:rPr>
          <w:noProof/>
          <w:lang w:eastAsia="es-SV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145415</wp:posOffset>
            </wp:positionV>
            <wp:extent cx="5248275" cy="3248025"/>
            <wp:effectExtent l="0" t="0" r="9525" b="9525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7C8" w:rsidRDefault="00AF67C8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7A0E05">
      <w:r w:rsidRPr="009B1E3B">
        <w:rPr>
          <w:rFonts w:ascii="Calibri" w:eastAsia="Times New Roman" w:hAnsi="Calibri" w:cs="Times New Roman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144272F" wp14:editId="7E9FF23D">
                <wp:simplePos x="0" y="0"/>
                <wp:positionH relativeFrom="column">
                  <wp:posOffset>414655</wp:posOffset>
                </wp:positionH>
                <wp:positionV relativeFrom="paragraph">
                  <wp:posOffset>22860</wp:posOffset>
                </wp:positionV>
                <wp:extent cx="5210175" cy="676275"/>
                <wp:effectExtent l="19050" t="19050" r="28575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E0A" w:rsidRDefault="00B01E0A" w:rsidP="00B01E0A">
                            <w:pPr>
                              <w:jc w:val="both"/>
                            </w:pPr>
                            <w:r>
                              <w:t>La gráfica presenta un acumulado de 1</w:t>
                            </w:r>
                            <w:r w:rsidR="002D2114">
                              <w:t>00</w:t>
                            </w:r>
                            <w:r>
                              <w:t xml:space="preserve"> </w:t>
                            </w:r>
                            <w:r w:rsidR="002D2114">
                              <w:t xml:space="preserve">casos en el segundo trimestre 2023, </w:t>
                            </w:r>
                            <w:r>
                              <w:t>a los cuales se les dio seguimiento por medio de teléfono abierto</w:t>
                            </w:r>
                            <w:r w:rsidR="002D2114">
                              <w:t>. En el mes de abril se atendió 40 casos y en mayo y junio 30 casos en cada 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272F" id="_x0000_s1030" type="#_x0000_t202" style="position:absolute;margin-left:32.65pt;margin-top:1.8pt;width:410.25pt;height:53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" strokecolor="#9dc3e6" strokeweight="2.25pt">
                <v:textbox>
                  <w:txbxContent>
                    <w:p w:rsidR="00B01E0A" w:rsidRDefault="00B01E0A" w:rsidP="00B01E0A">
                      <w:pPr>
                        <w:jc w:val="both"/>
                      </w:pPr>
                      <w:r>
                        <w:t>La gráfica presenta un acumulado de 1</w:t>
                      </w:r>
                      <w:r w:rsidR="002D2114">
                        <w:t>00</w:t>
                      </w:r>
                      <w:r>
                        <w:t xml:space="preserve"> </w:t>
                      </w:r>
                      <w:r w:rsidR="002D2114">
                        <w:t xml:space="preserve">casos en el segundo trimestre 2023, </w:t>
                      </w:r>
                      <w:r>
                        <w:t>a los cuales se les dio seguimiento por medio de teléfono abierto</w:t>
                      </w:r>
                      <w:r w:rsidR="002D2114">
                        <w:t>. En el mes de abril se atendió 40 casos y en mayo y junio 30 casos en cada mes.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32FA" w:rsidRDefault="00F032FA"/>
    <w:p w:rsidR="00F032FA" w:rsidRDefault="00F032FA"/>
    <w:p w:rsidR="000A3DCD" w:rsidRDefault="000A3DCD">
      <w:r>
        <w:br w:type="page"/>
      </w:r>
    </w:p>
    <w:p w:rsidR="00F032FA" w:rsidRDefault="00F032FA"/>
    <w:p w:rsidR="000A3DCD" w:rsidRDefault="000A3DCD"/>
    <w:p w:rsidR="000A3DCD" w:rsidRDefault="000A3DCD">
      <w:r>
        <w:rPr>
          <w:noProof/>
          <w:lang w:eastAsia="es-SV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73660</wp:posOffset>
            </wp:positionV>
            <wp:extent cx="5610225" cy="3543300"/>
            <wp:effectExtent l="0" t="0" r="9525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0A3DCD"/>
    <w:p w:rsidR="000A3DCD" w:rsidRDefault="00C35040">
      <w:r w:rsidRPr="009B1E3B">
        <w:rPr>
          <w:rFonts w:ascii="Calibri" w:eastAsia="Times New Roman" w:hAnsi="Calibri" w:cs="Times New Roman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A4BC8C1" wp14:editId="58615F44">
                <wp:simplePos x="0" y="0"/>
                <wp:positionH relativeFrom="column">
                  <wp:posOffset>510540</wp:posOffset>
                </wp:positionH>
                <wp:positionV relativeFrom="paragraph">
                  <wp:posOffset>56515</wp:posOffset>
                </wp:positionV>
                <wp:extent cx="5286375" cy="514350"/>
                <wp:effectExtent l="19050" t="1905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DCD" w:rsidRDefault="000A3DCD" w:rsidP="000A3DCD">
                            <w:pPr>
                              <w:jc w:val="both"/>
                            </w:pPr>
                            <w:r>
                              <w:t>La gráfica muestra los casos recibidos por teléfono fijo de la oficina y atendidos para su seguimiento vía Chat, en frecuencia de atención por departamento.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BC8C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0.2pt;margin-top:4.45pt;width:416.25pt;height:40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" strokecolor="#9dc3e6" strokeweight="2.25pt">
                <v:textbox>
                  <w:txbxContent>
                    <w:p w:rsidR="000A3DCD" w:rsidRDefault="000A3DCD" w:rsidP="000A3DCD">
                      <w:pPr>
                        <w:jc w:val="both"/>
                      </w:pPr>
                      <w:r>
                        <w:t xml:space="preserve">La gráfica </w:t>
                      </w:r>
                      <w:r>
                        <w:t>muestra los casos recibidos por teléfono fijo de la oficina y atendidos para su seguimiento vía Chat, en frecuencia de atención por departamento.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3DCD" w:rsidRDefault="000A3DCD"/>
    <w:p w:rsidR="000A3DCD" w:rsidRDefault="000A3DCD"/>
    <w:p w:rsidR="000A3DCD" w:rsidRDefault="000A3DCD"/>
    <w:sectPr w:rsidR="000A3D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48" w:rsidRDefault="00F77348" w:rsidP="006C23E5">
      <w:pPr>
        <w:spacing w:after="0" w:line="240" w:lineRule="auto"/>
      </w:pPr>
      <w:r>
        <w:separator/>
      </w:r>
    </w:p>
  </w:endnote>
  <w:endnote w:type="continuationSeparator" w:id="0">
    <w:p w:rsidR="00F77348" w:rsidRDefault="00F77348" w:rsidP="006C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629959"/>
      <w:docPartObj>
        <w:docPartGallery w:val="Page Numbers (Bottom of Page)"/>
        <w:docPartUnique/>
      </w:docPartObj>
    </w:sdtPr>
    <w:sdtEndPr/>
    <w:sdtContent>
      <w:p w:rsidR="0016676D" w:rsidRDefault="001667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D48" w:rsidRPr="00164D48">
          <w:rPr>
            <w:noProof/>
            <w:lang w:val="es-ES"/>
          </w:rPr>
          <w:t>5</w:t>
        </w:r>
        <w:r>
          <w:fldChar w:fldCharType="end"/>
        </w:r>
      </w:p>
    </w:sdtContent>
  </w:sdt>
  <w:p w:rsidR="0016676D" w:rsidRDefault="001667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48" w:rsidRDefault="00F77348" w:rsidP="006C23E5">
      <w:pPr>
        <w:spacing w:after="0" w:line="240" w:lineRule="auto"/>
      </w:pPr>
      <w:r>
        <w:separator/>
      </w:r>
    </w:p>
  </w:footnote>
  <w:footnote w:type="continuationSeparator" w:id="0">
    <w:p w:rsidR="00F77348" w:rsidRDefault="00F77348" w:rsidP="006C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E5" w:rsidRDefault="006C23E5" w:rsidP="006C23E5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467EBD09" wp14:editId="0726E51B">
          <wp:extent cx="2235200" cy="89598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F6D31"/>
    <w:multiLevelType w:val="multilevel"/>
    <w:tmpl w:val="3B5A66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5"/>
    <w:rsid w:val="00004B9C"/>
    <w:rsid w:val="00025DC2"/>
    <w:rsid w:val="00027428"/>
    <w:rsid w:val="000A0830"/>
    <w:rsid w:val="000A3DCD"/>
    <w:rsid w:val="000A5B22"/>
    <w:rsid w:val="000C260B"/>
    <w:rsid w:val="000F6026"/>
    <w:rsid w:val="00124F58"/>
    <w:rsid w:val="0013238F"/>
    <w:rsid w:val="00137960"/>
    <w:rsid w:val="001604B9"/>
    <w:rsid w:val="00161A09"/>
    <w:rsid w:val="00164D48"/>
    <w:rsid w:val="0016676D"/>
    <w:rsid w:val="001764FB"/>
    <w:rsid w:val="00180E43"/>
    <w:rsid w:val="001C2055"/>
    <w:rsid w:val="001C55F9"/>
    <w:rsid w:val="001E2081"/>
    <w:rsid w:val="001E57B1"/>
    <w:rsid w:val="001E776A"/>
    <w:rsid w:val="002371AE"/>
    <w:rsid w:val="002421F0"/>
    <w:rsid w:val="00253128"/>
    <w:rsid w:val="00290BF8"/>
    <w:rsid w:val="002925EA"/>
    <w:rsid w:val="002B308A"/>
    <w:rsid w:val="002C7739"/>
    <w:rsid w:val="002D2114"/>
    <w:rsid w:val="002E26AA"/>
    <w:rsid w:val="002F17C3"/>
    <w:rsid w:val="002F19C4"/>
    <w:rsid w:val="002F3093"/>
    <w:rsid w:val="003272FC"/>
    <w:rsid w:val="003326F1"/>
    <w:rsid w:val="00337534"/>
    <w:rsid w:val="0036226C"/>
    <w:rsid w:val="00365BC1"/>
    <w:rsid w:val="0038077D"/>
    <w:rsid w:val="003A3199"/>
    <w:rsid w:val="003B5F2D"/>
    <w:rsid w:val="003C12E4"/>
    <w:rsid w:val="003D371F"/>
    <w:rsid w:val="003F51C5"/>
    <w:rsid w:val="00405A66"/>
    <w:rsid w:val="00425EB3"/>
    <w:rsid w:val="00426348"/>
    <w:rsid w:val="00462C30"/>
    <w:rsid w:val="004878AD"/>
    <w:rsid w:val="004A0550"/>
    <w:rsid w:val="004B6556"/>
    <w:rsid w:val="004C6B9B"/>
    <w:rsid w:val="004D6BFE"/>
    <w:rsid w:val="004F43E6"/>
    <w:rsid w:val="005067E6"/>
    <w:rsid w:val="00507604"/>
    <w:rsid w:val="00516068"/>
    <w:rsid w:val="005451D4"/>
    <w:rsid w:val="005535AD"/>
    <w:rsid w:val="0056232C"/>
    <w:rsid w:val="00562C0F"/>
    <w:rsid w:val="0057572B"/>
    <w:rsid w:val="00577C8F"/>
    <w:rsid w:val="00581B9D"/>
    <w:rsid w:val="00585E4C"/>
    <w:rsid w:val="005954F0"/>
    <w:rsid w:val="00596F83"/>
    <w:rsid w:val="005D07CD"/>
    <w:rsid w:val="005D6D50"/>
    <w:rsid w:val="006040CF"/>
    <w:rsid w:val="006071AA"/>
    <w:rsid w:val="00621756"/>
    <w:rsid w:val="00621F19"/>
    <w:rsid w:val="00622B6F"/>
    <w:rsid w:val="006474C1"/>
    <w:rsid w:val="00647A8B"/>
    <w:rsid w:val="00650E60"/>
    <w:rsid w:val="00653479"/>
    <w:rsid w:val="006A406F"/>
    <w:rsid w:val="006B7091"/>
    <w:rsid w:val="006C23E5"/>
    <w:rsid w:val="006C5C96"/>
    <w:rsid w:val="006E2484"/>
    <w:rsid w:val="00727283"/>
    <w:rsid w:val="00734820"/>
    <w:rsid w:val="007636B6"/>
    <w:rsid w:val="00776E08"/>
    <w:rsid w:val="00784AA5"/>
    <w:rsid w:val="007A0E05"/>
    <w:rsid w:val="007D340A"/>
    <w:rsid w:val="008208C4"/>
    <w:rsid w:val="00825682"/>
    <w:rsid w:val="0083027D"/>
    <w:rsid w:val="00842297"/>
    <w:rsid w:val="00862D0B"/>
    <w:rsid w:val="00863432"/>
    <w:rsid w:val="008637CC"/>
    <w:rsid w:val="00885E00"/>
    <w:rsid w:val="0089197F"/>
    <w:rsid w:val="008C3360"/>
    <w:rsid w:val="008C7020"/>
    <w:rsid w:val="008D5AC3"/>
    <w:rsid w:val="008E12F7"/>
    <w:rsid w:val="008E7410"/>
    <w:rsid w:val="00921062"/>
    <w:rsid w:val="00927ECA"/>
    <w:rsid w:val="00931CA2"/>
    <w:rsid w:val="00934EC0"/>
    <w:rsid w:val="00940582"/>
    <w:rsid w:val="00945D8E"/>
    <w:rsid w:val="00954F1F"/>
    <w:rsid w:val="00963136"/>
    <w:rsid w:val="00985AC2"/>
    <w:rsid w:val="00996E1E"/>
    <w:rsid w:val="009A4F9C"/>
    <w:rsid w:val="009B1E3B"/>
    <w:rsid w:val="009C68AE"/>
    <w:rsid w:val="009F1C3F"/>
    <w:rsid w:val="009F2FEE"/>
    <w:rsid w:val="009F3A22"/>
    <w:rsid w:val="00A02696"/>
    <w:rsid w:val="00A2326B"/>
    <w:rsid w:val="00A3360E"/>
    <w:rsid w:val="00A64DC9"/>
    <w:rsid w:val="00A66D3C"/>
    <w:rsid w:val="00A7642A"/>
    <w:rsid w:val="00A82AE5"/>
    <w:rsid w:val="00A8480E"/>
    <w:rsid w:val="00AA18A3"/>
    <w:rsid w:val="00AB008B"/>
    <w:rsid w:val="00AB3308"/>
    <w:rsid w:val="00AB33B0"/>
    <w:rsid w:val="00AC1055"/>
    <w:rsid w:val="00AF5C4B"/>
    <w:rsid w:val="00AF67C8"/>
    <w:rsid w:val="00B01E0A"/>
    <w:rsid w:val="00B0393D"/>
    <w:rsid w:val="00B23CAD"/>
    <w:rsid w:val="00B27ECB"/>
    <w:rsid w:val="00B408EE"/>
    <w:rsid w:val="00B450F7"/>
    <w:rsid w:val="00B76BAA"/>
    <w:rsid w:val="00B8046C"/>
    <w:rsid w:val="00B96EDB"/>
    <w:rsid w:val="00BB4EA4"/>
    <w:rsid w:val="00BE4B85"/>
    <w:rsid w:val="00C12661"/>
    <w:rsid w:val="00C35040"/>
    <w:rsid w:val="00C64056"/>
    <w:rsid w:val="00C87BF5"/>
    <w:rsid w:val="00C91054"/>
    <w:rsid w:val="00CB316C"/>
    <w:rsid w:val="00CC6D30"/>
    <w:rsid w:val="00CE2AFB"/>
    <w:rsid w:val="00CE3CBD"/>
    <w:rsid w:val="00CF166B"/>
    <w:rsid w:val="00CF2DC9"/>
    <w:rsid w:val="00CF6AB4"/>
    <w:rsid w:val="00D21FFB"/>
    <w:rsid w:val="00D3512F"/>
    <w:rsid w:val="00D5466E"/>
    <w:rsid w:val="00D573A4"/>
    <w:rsid w:val="00D873F2"/>
    <w:rsid w:val="00DE1550"/>
    <w:rsid w:val="00E10CA2"/>
    <w:rsid w:val="00E13293"/>
    <w:rsid w:val="00E47351"/>
    <w:rsid w:val="00E74DB4"/>
    <w:rsid w:val="00EA02DE"/>
    <w:rsid w:val="00EB12E4"/>
    <w:rsid w:val="00ED1C42"/>
    <w:rsid w:val="00ED4EA5"/>
    <w:rsid w:val="00EE25DA"/>
    <w:rsid w:val="00EE28E0"/>
    <w:rsid w:val="00EE4863"/>
    <w:rsid w:val="00F032FA"/>
    <w:rsid w:val="00F23904"/>
    <w:rsid w:val="00F377A0"/>
    <w:rsid w:val="00F536C8"/>
    <w:rsid w:val="00F56B9E"/>
    <w:rsid w:val="00F628AB"/>
    <w:rsid w:val="00F67EC2"/>
    <w:rsid w:val="00F77348"/>
    <w:rsid w:val="00F95022"/>
    <w:rsid w:val="00FB0191"/>
    <w:rsid w:val="00FC3124"/>
    <w:rsid w:val="00FC517B"/>
    <w:rsid w:val="00FE03F1"/>
    <w:rsid w:val="00FE6186"/>
    <w:rsid w:val="00FF038F"/>
    <w:rsid w:val="00FF5C5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F8FCBC-1873-4C2D-8C16-16A4094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3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3E5"/>
  </w:style>
  <w:style w:type="paragraph" w:styleId="Piedepgina">
    <w:name w:val="footer"/>
    <w:basedOn w:val="Normal"/>
    <w:link w:val="Piedepgina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3E5"/>
  </w:style>
  <w:style w:type="character" w:customStyle="1" w:styleId="Ttulo1Car">
    <w:name w:val="Título 1 Car"/>
    <w:basedOn w:val="Fuentedeprrafopredeter"/>
    <w:link w:val="Ttulo1"/>
    <w:uiPriority w:val="9"/>
    <w:rsid w:val="007D3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aliases w:val="Párrafo de lista - colocho lara,Párrafo de lista - CGothic,Resume Title,Bullet List,Number Bullets,First Level Outline,Ha,Primus H 3,lp1,List Paragraph1,Use Case List Paragraph,YC Bulet,Citation List"/>
    <w:basedOn w:val="Normal"/>
    <w:link w:val="PrrafodelistaCar"/>
    <w:uiPriority w:val="99"/>
    <w:qFormat/>
    <w:rsid w:val="009F2FE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- colocho lara Car,Párrafo de lista - CGothic Car,Resume Title Car,Bullet List Car,Number Bullets Car,First Level Outline Car,Ha Car,Primus H 3 Car,lp1 Car,List Paragraph1 Car,Use Case List Paragraph Car"/>
    <w:link w:val="Prrafodelista"/>
    <w:uiPriority w:val="99"/>
    <w:locked/>
    <w:rsid w:val="009F2FE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2do%20trimestre%202023\Act%20trimestre%20II%202023%20rev%20mapa%20210723%2012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%20trimestre%20II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%20trimestre%20II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ct%20trimestre%20II%202023%20rev%20mapa%20210723%2012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2do%20trimestre%202023\Casos%20con%20atenci&#243;n%20v&#237;a%20chat%202do%20trimest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2do%20trimestre%202023\Casos%20con%20atenci&#243;n%20v&#237;a%20chat%202do%20trimest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Total</a:t>
            </a:r>
            <a:r>
              <a:rPr lang="es-SV" sz="1200" b="1" baseline="0"/>
              <a:t> de acciones realizadas </a:t>
            </a:r>
          </a:p>
          <a:p>
            <a:pPr>
              <a:defRPr sz="1200" b="1"/>
            </a:pPr>
            <a:r>
              <a:rPr lang="es-SV" sz="1200" b="1" baseline="0"/>
              <a:t>con participación ciudadana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'[Act trimestre II 2023 rev mapa 210723 1218.xlsx]Acción realizada'!$B$19:$E$19</c:f>
              <c:strCache>
                <c:ptCount val="4"/>
                <c:pt idx="0">
                  <c:v>abril </c:v>
                </c:pt>
                <c:pt idx="1">
                  <c:v>mayo </c:v>
                </c:pt>
                <c:pt idx="2">
                  <c:v>junio</c:v>
                </c:pt>
                <c:pt idx="3">
                  <c:v>Total acumulado</c:v>
                </c:pt>
              </c:strCache>
            </c:strRef>
          </c:cat>
          <c:val>
            <c:numRef>
              <c:f>'[Act trimestre II 2023 rev mapa 210723 1218.xlsx]Acción realizada'!$B$20:$E$20</c:f>
              <c:numCache>
                <c:formatCode>General</c:formatCode>
                <c:ptCount val="4"/>
                <c:pt idx="0">
                  <c:v>57</c:v>
                </c:pt>
                <c:pt idx="1">
                  <c:v>82</c:v>
                </c:pt>
                <c:pt idx="2">
                  <c:v>139</c:v>
                </c:pt>
                <c:pt idx="3">
                  <c:v>278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4050800"/>
        <c:axId val="964045904"/>
      </c:lineChart>
      <c:catAx>
        <c:axId val="96405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045904"/>
        <c:crosses val="autoZero"/>
        <c:auto val="1"/>
        <c:lblAlgn val="ctr"/>
        <c:lblOffset val="100"/>
        <c:noMultiLvlLbl val="0"/>
      </c:catAx>
      <c:valAx>
        <c:axId val="96404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05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Departamentos</a:t>
            </a:r>
            <a:r>
              <a:rPr lang="es-SV" b="1" baseline="0"/>
              <a:t> a</a:t>
            </a:r>
            <a:r>
              <a:rPr lang="es-SV" b="1"/>
              <a:t>tendidos en el segundo trimestre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'Deptos-muni'!$B$1:$B$3</c:f>
              <c:strCache>
                <c:ptCount val="3"/>
                <c:pt idx="1">
                  <c:v>Atenciones</c:v>
                </c:pt>
                <c:pt idx="2">
                  <c:v>abril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'Deptos-muni'!$A$4:$A$14</c:f>
              <c:strCache>
                <c:ptCount val="11"/>
                <c:pt idx="0">
                  <c:v>San Salvador</c:v>
                </c:pt>
                <c:pt idx="1">
                  <c:v>Sonsonate </c:v>
                </c:pt>
                <c:pt idx="2">
                  <c:v>La libertad</c:v>
                </c:pt>
                <c:pt idx="3">
                  <c:v>Cabañas</c:v>
                </c:pt>
                <c:pt idx="4">
                  <c:v>San Vicente</c:v>
                </c:pt>
                <c:pt idx="5">
                  <c:v>Usulután</c:v>
                </c:pt>
                <c:pt idx="6">
                  <c:v>San Miguel</c:v>
                </c:pt>
                <c:pt idx="7">
                  <c:v>Santa Ana</c:v>
                </c:pt>
                <c:pt idx="8">
                  <c:v>La Paz</c:v>
                </c:pt>
                <c:pt idx="9">
                  <c:v>La Unión</c:v>
                </c:pt>
                <c:pt idx="10">
                  <c:v>Ahuachapán</c:v>
                </c:pt>
              </c:strCache>
            </c:strRef>
          </c:cat>
          <c:val>
            <c:numRef>
              <c:f>'Deptos-muni'!$B$4:$B$14</c:f>
              <c:numCache>
                <c:formatCode>General</c:formatCode>
                <c:ptCount val="11"/>
                <c:pt idx="0">
                  <c:v>24</c:v>
                </c:pt>
                <c:pt idx="1">
                  <c:v>8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'Deptos-muni'!$C$1:$C$3</c:f>
              <c:strCache>
                <c:ptCount val="3"/>
                <c:pt idx="1">
                  <c:v>Atenciones</c:v>
                </c:pt>
                <c:pt idx="2">
                  <c:v>mayo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'Deptos-muni'!$A$4:$A$14</c:f>
              <c:strCache>
                <c:ptCount val="11"/>
                <c:pt idx="0">
                  <c:v>San Salvador</c:v>
                </c:pt>
                <c:pt idx="1">
                  <c:v>Sonsonate </c:v>
                </c:pt>
                <c:pt idx="2">
                  <c:v>La libertad</c:v>
                </c:pt>
                <c:pt idx="3">
                  <c:v>Cabañas</c:v>
                </c:pt>
                <c:pt idx="4">
                  <c:v>San Vicente</c:v>
                </c:pt>
                <c:pt idx="5">
                  <c:v>Usulután</c:v>
                </c:pt>
                <c:pt idx="6">
                  <c:v>San Miguel</c:v>
                </c:pt>
                <c:pt idx="7">
                  <c:v>Santa Ana</c:v>
                </c:pt>
                <c:pt idx="8">
                  <c:v>La Paz</c:v>
                </c:pt>
                <c:pt idx="9">
                  <c:v>La Unión</c:v>
                </c:pt>
                <c:pt idx="10">
                  <c:v>Ahuachapán</c:v>
                </c:pt>
              </c:strCache>
            </c:strRef>
          </c:cat>
          <c:val>
            <c:numRef>
              <c:f>'Deptos-muni'!$C$4:$C$14</c:f>
              <c:numCache>
                <c:formatCode>General</c:formatCode>
                <c:ptCount val="11"/>
                <c:pt idx="0">
                  <c:v>35</c:v>
                </c:pt>
                <c:pt idx="1">
                  <c:v>3</c:v>
                </c:pt>
                <c:pt idx="2">
                  <c:v>11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2</c:v>
                </c:pt>
                <c:pt idx="10">
                  <c:v>5</c:v>
                </c:pt>
              </c:numCache>
            </c:numRef>
          </c:val>
        </c:ser>
        <c:ser>
          <c:idx val="2"/>
          <c:order val="2"/>
          <c:tx>
            <c:strRef>
              <c:f>'Deptos-muni'!$D$1:$D$3</c:f>
              <c:strCache>
                <c:ptCount val="3"/>
                <c:pt idx="1">
                  <c:v>Atenciones</c:v>
                </c:pt>
                <c:pt idx="2">
                  <c:v>junio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'Deptos-muni'!$A$4:$A$14</c:f>
              <c:strCache>
                <c:ptCount val="11"/>
                <c:pt idx="0">
                  <c:v>San Salvador</c:v>
                </c:pt>
                <c:pt idx="1">
                  <c:v>Sonsonate </c:v>
                </c:pt>
                <c:pt idx="2">
                  <c:v>La libertad</c:v>
                </c:pt>
                <c:pt idx="3">
                  <c:v>Cabañas</c:v>
                </c:pt>
                <c:pt idx="4">
                  <c:v>San Vicente</c:v>
                </c:pt>
                <c:pt idx="5">
                  <c:v>Usulután</c:v>
                </c:pt>
                <c:pt idx="6">
                  <c:v>San Miguel</c:v>
                </c:pt>
                <c:pt idx="7">
                  <c:v>Santa Ana</c:v>
                </c:pt>
                <c:pt idx="8">
                  <c:v>La Paz</c:v>
                </c:pt>
                <c:pt idx="9">
                  <c:v>La Unión</c:v>
                </c:pt>
                <c:pt idx="10">
                  <c:v>Ahuachapán</c:v>
                </c:pt>
              </c:strCache>
            </c:strRef>
          </c:cat>
          <c:val>
            <c:numRef>
              <c:f>'Deptos-muni'!$D$4:$D$14</c:f>
              <c:numCache>
                <c:formatCode>General</c:formatCode>
                <c:ptCount val="11"/>
                <c:pt idx="0">
                  <c:v>23</c:v>
                </c:pt>
                <c:pt idx="1">
                  <c:v>4</c:v>
                </c:pt>
                <c:pt idx="2">
                  <c:v>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4048080"/>
        <c:axId val="964043728"/>
      </c:barChart>
      <c:catAx>
        <c:axId val="96404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043728"/>
        <c:crosses val="autoZero"/>
        <c:auto val="1"/>
        <c:lblAlgn val="ctr"/>
        <c:lblOffset val="100"/>
        <c:noMultiLvlLbl val="0"/>
      </c:catAx>
      <c:valAx>
        <c:axId val="96404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04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Municipios atendidos 2do trimestre/23</a:t>
            </a:r>
          </a:p>
        </c:rich>
      </c:tx>
      <c:layout>
        <c:manualLayout>
          <c:xMode val="edge"/>
          <c:yMode val="edge"/>
          <c:x val="0.32886985512353123"/>
          <c:y val="4.600209973753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643649980325771"/>
          <c:y val="1.1846035615987663E-2"/>
          <c:w val="0.85862418762728798"/>
          <c:h val="0.924183852018497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'Deptos-muni'!$B$19:$B$20</c:f>
              <c:strCache>
                <c:ptCount val="2"/>
                <c:pt idx="0">
                  <c:v>Atenciones</c:v>
                </c:pt>
                <c:pt idx="1">
                  <c:v>abril </c:v>
                </c:pt>
              </c:strCache>
            </c:strRef>
          </c:tx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dLbl>
              <c:idx val="2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'Deptos-muni'!$A$21:$A$63</c:f>
              <c:strCache>
                <c:ptCount val="43"/>
                <c:pt idx="0">
                  <c:v>Acajutla</c:v>
                </c:pt>
                <c:pt idx="1">
                  <c:v>Apopa</c:v>
                </c:pt>
                <c:pt idx="2">
                  <c:v>Alegría</c:v>
                </c:pt>
                <c:pt idx="3">
                  <c:v>Atiquizaya</c:v>
                </c:pt>
                <c:pt idx="4">
                  <c:v>Antiguo Cuscatlán</c:v>
                </c:pt>
                <c:pt idx="5">
                  <c:v>Atiquizaya</c:v>
                </c:pt>
                <c:pt idx="6">
                  <c:v>Armenia</c:v>
                </c:pt>
                <c:pt idx="7">
                  <c:v>Chalchuapa</c:v>
                </c:pt>
                <c:pt idx="8">
                  <c:v>Chiltiupán</c:v>
                </c:pt>
                <c:pt idx="9">
                  <c:v>Ciudad Delgado</c:v>
                </c:pt>
                <c:pt idx="10">
                  <c:v>Caluco</c:v>
                </c:pt>
                <c:pt idx="11">
                  <c:v>Colón</c:v>
                </c:pt>
                <c:pt idx="12">
                  <c:v>Cuisnahuat</c:v>
                </c:pt>
                <c:pt idx="13">
                  <c:v>Dolores</c:v>
                </c:pt>
                <c:pt idx="14">
                  <c:v>Ilopango</c:v>
                </c:pt>
                <c:pt idx="15">
                  <c:v>Jujutla</c:v>
                </c:pt>
                <c:pt idx="16">
                  <c:v>La Libertad</c:v>
                </c:pt>
                <c:pt idx="17">
                  <c:v>La Unión</c:v>
                </c:pt>
                <c:pt idx="18">
                  <c:v>Quezaltepeque</c:v>
                </c:pt>
                <c:pt idx="19">
                  <c:v>San Francisco Menéndez</c:v>
                </c:pt>
                <c:pt idx="20">
                  <c:v>San Juan Opico</c:v>
                </c:pt>
                <c:pt idx="21">
                  <c:v>San Julian</c:v>
                </c:pt>
                <c:pt idx="22">
                  <c:v>San Antonio Masahuat </c:v>
                </c:pt>
                <c:pt idx="23">
                  <c:v>San Luis La Herradura</c:v>
                </c:pt>
                <c:pt idx="24">
                  <c:v>San Luis Talpa</c:v>
                </c:pt>
                <c:pt idx="25">
                  <c:v>San Marcos</c:v>
                </c:pt>
                <c:pt idx="26">
                  <c:v>San Pedro Perulapan</c:v>
                </c:pt>
                <c:pt idx="27">
                  <c:v>San Miguel </c:v>
                </c:pt>
                <c:pt idx="28">
                  <c:v>San Salvador</c:v>
                </c:pt>
                <c:pt idx="29">
                  <c:v>Santa Clara</c:v>
                </c:pt>
                <c:pt idx="30">
                  <c:v>Santa Rosa de Lima</c:v>
                </c:pt>
                <c:pt idx="31">
                  <c:v>Santa Elena</c:v>
                </c:pt>
                <c:pt idx="32">
                  <c:v>Santo Domingo</c:v>
                </c:pt>
                <c:pt idx="33">
                  <c:v>Sensuntepeque</c:v>
                </c:pt>
                <c:pt idx="34">
                  <c:v>San Vicente</c:v>
                </c:pt>
                <c:pt idx="35">
                  <c:v>Santa Isabel Ishuatan</c:v>
                </c:pt>
                <c:pt idx="36">
                  <c:v>Sonsonate</c:v>
                </c:pt>
                <c:pt idx="37">
                  <c:v>Soyapango</c:v>
                </c:pt>
                <c:pt idx="38">
                  <c:v>Tacuba</c:v>
                </c:pt>
                <c:pt idx="39">
                  <c:v>Tecoluca</c:v>
                </c:pt>
                <c:pt idx="40">
                  <c:v>Teotepeque</c:v>
                </c:pt>
                <c:pt idx="41">
                  <c:v>Tonacatepeque</c:v>
                </c:pt>
                <c:pt idx="42">
                  <c:v>Victoria</c:v>
                </c:pt>
              </c:strCache>
            </c:strRef>
          </c:cat>
          <c:val>
            <c:numRef>
              <c:f>'Deptos-muni'!$B$21:$B$63</c:f>
              <c:numCache>
                <c:formatCode>General</c:formatCode>
                <c:ptCount val="43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2</c:v>
                </c:pt>
                <c:pt idx="28">
                  <c:v>18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  <c:pt idx="35">
                  <c:v>1</c:v>
                </c:pt>
                <c:pt idx="36">
                  <c:v>4</c:v>
                </c:pt>
                <c:pt idx="37">
                  <c:v>1</c:v>
                </c:pt>
                <c:pt idx="38">
                  <c:v>0</c:v>
                </c:pt>
                <c:pt idx="39">
                  <c:v>1</c:v>
                </c:pt>
                <c:pt idx="40">
                  <c:v>1</c:v>
                </c:pt>
                <c:pt idx="41">
                  <c:v>0</c:v>
                </c:pt>
                <c:pt idx="42">
                  <c:v>0</c:v>
                </c:pt>
              </c:numCache>
            </c:numRef>
          </c:val>
        </c:ser>
        <c:ser>
          <c:idx val="1"/>
          <c:order val="1"/>
          <c:tx>
            <c:strRef>
              <c:f>'Deptos-muni'!$C$19:$C$20</c:f>
              <c:strCache>
                <c:ptCount val="2"/>
                <c:pt idx="0">
                  <c:v>Atenciones</c:v>
                </c:pt>
                <c:pt idx="1">
                  <c:v>mayo </c:v>
                </c:pt>
              </c:strCache>
            </c:strRef>
          </c:tx>
          <c:spPr>
            <a:pattFill prst="narVert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'Deptos-muni'!$A$21:$A$63</c:f>
              <c:strCache>
                <c:ptCount val="43"/>
                <c:pt idx="0">
                  <c:v>Acajutla</c:v>
                </c:pt>
                <c:pt idx="1">
                  <c:v>Apopa</c:v>
                </c:pt>
                <c:pt idx="2">
                  <c:v>Alegría</c:v>
                </c:pt>
                <c:pt idx="3">
                  <c:v>Atiquizaya</c:v>
                </c:pt>
                <c:pt idx="4">
                  <c:v>Antiguo Cuscatlán</c:v>
                </c:pt>
                <c:pt idx="5">
                  <c:v>Atiquizaya</c:v>
                </c:pt>
                <c:pt idx="6">
                  <c:v>Armenia</c:v>
                </c:pt>
                <c:pt idx="7">
                  <c:v>Chalchuapa</c:v>
                </c:pt>
                <c:pt idx="8">
                  <c:v>Chiltiupán</c:v>
                </c:pt>
                <c:pt idx="9">
                  <c:v>Ciudad Delgado</c:v>
                </c:pt>
                <c:pt idx="10">
                  <c:v>Caluco</c:v>
                </c:pt>
                <c:pt idx="11">
                  <c:v>Colón</c:v>
                </c:pt>
                <c:pt idx="12">
                  <c:v>Cuisnahuat</c:v>
                </c:pt>
                <c:pt idx="13">
                  <c:v>Dolores</c:v>
                </c:pt>
                <c:pt idx="14">
                  <c:v>Ilopango</c:v>
                </c:pt>
                <c:pt idx="15">
                  <c:v>Jujutla</c:v>
                </c:pt>
                <c:pt idx="16">
                  <c:v>La Libertad</c:v>
                </c:pt>
                <c:pt idx="17">
                  <c:v>La Unión</c:v>
                </c:pt>
                <c:pt idx="18">
                  <c:v>Quezaltepeque</c:v>
                </c:pt>
                <c:pt idx="19">
                  <c:v>San Francisco Menéndez</c:v>
                </c:pt>
                <c:pt idx="20">
                  <c:v>San Juan Opico</c:v>
                </c:pt>
                <c:pt idx="21">
                  <c:v>San Julian</c:v>
                </c:pt>
                <c:pt idx="22">
                  <c:v>San Antonio Masahuat </c:v>
                </c:pt>
                <c:pt idx="23">
                  <c:v>San Luis La Herradura</c:v>
                </c:pt>
                <c:pt idx="24">
                  <c:v>San Luis Talpa</c:v>
                </c:pt>
                <c:pt idx="25">
                  <c:v>San Marcos</c:v>
                </c:pt>
                <c:pt idx="26">
                  <c:v>San Pedro Perulapan</c:v>
                </c:pt>
                <c:pt idx="27">
                  <c:v>San Miguel </c:v>
                </c:pt>
                <c:pt idx="28">
                  <c:v>San Salvador</c:v>
                </c:pt>
                <c:pt idx="29">
                  <c:v>Santa Clara</c:v>
                </c:pt>
                <c:pt idx="30">
                  <c:v>Santa Rosa de Lima</c:v>
                </c:pt>
                <c:pt idx="31">
                  <c:v>Santa Elena</c:v>
                </c:pt>
                <c:pt idx="32">
                  <c:v>Santo Domingo</c:v>
                </c:pt>
                <c:pt idx="33">
                  <c:v>Sensuntepeque</c:v>
                </c:pt>
                <c:pt idx="34">
                  <c:v>San Vicente</c:v>
                </c:pt>
                <c:pt idx="35">
                  <c:v>Santa Isabel Ishuatan</c:v>
                </c:pt>
                <c:pt idx="36">
                  <c:v>Sonsonate</c:v>
                </c:pt>
                <c:pt idx="37">
                  <c:v>Soyapango</c:v>
                </c:pt>
                <c:pt idx="38">
                  <c:v>Tacuba</c:v>
                </c:pt>
                <c:pt idx="39">
                  <c:v>Tecoluca</c:v>
                </c:pt>
                <c:pt idx="40">
                  <c:v>Teotepeque</c:v>
                </c:pt>
                <c:pt idx="41">
                  <c:v>Tonacatepeque</c:v>
                </c:pt>
                <c:pt idx="42">
                  <c:v>Victoria</c:v>
                </c:pt>
              </c:strCache>
            </c:strRef>
          </c:cat>
          <c:val>
            <c:numRef>
              <c:f>'Deptos-muni'!$C$21:$C$63</c:f>
              <c:numCache>
                <c:formatCode>General</c:formatCode>
                <c:ptCount val="43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3</c:v>
                </c:pt>
                <c:pt idx="12">
                  <c:v>1</c:v>
                </c:pt>
                <c:pt idx="13">
                  <c:v>1</c:v>
                </c:pt>
                <c:pt idx="14">
                  <c:v>5</c:v>
                </c:pt>
                <c:pt idx="15">
                  <c:v>0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3</c:v>
                </c:pt>
                <c:pt idx="24">
                  <c:v>1</c:v>
                </c:pt>
                <c:pt idx="25">
                  <c:v>4</c:v>
                </c:pt>
                <c:pt idx="26">
                  <c:v>0</c:v>
                </c:pt>
                <c:pt idx="27">
                  <c:v>1</c:v>
                </c:pt>
                <c:pt idx="28">
                  <c:v>16</c:v>
                </c:pt>
                <c:pt idx="29">
                  <c:v>1</c:v>
                </c:pt>
                <c:pt idx="30">
                  <c:v>0</c:v>
                </c:pt>
                <c:pt idx="31">
                  <c:v>2</c:v>
                </c:pt>
                <c:pt idx="32">
                  <c:v>1</c:v>
                </c:pt>
                <c:pt idx="33">
                  <c:v>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4</c:v>
                </c:pt>
                <c:pt idx="38">
                  <c:v>0</c:v>
                </c:pt>
                <c:pt idx="39">
                  <c:v>1</c:v>
                </c:pt>
                <c:pt idx="40">
                  <c:v>2</c:v>
                </c:pt>
                <c:pt idx="41">
                  <c:v>4</c:v>
                </c:pt>
                <c:pt idx="42">
                  <c:v>1</c:v>
                </c:pt>
              </c:numCache>
            </c:numRef>
          </c:val>
        </c:ser>
        <c:ser>
          <c:idx val="2"/>
          <c:order val="2"/>
          <c:tx>
            <c:strRef>
              <c:f>'Deptos-muni'!$D$19:$D$20</c:f>
              <c:strCache>
                <c:ptCount val="2"/>
                <c:pt idx="0">
                  <c:v>Atenciones</c:v>
                </c:pt>
                <c:pt idx="1">
                  <c:v>junio</c:v>
                </c:pt>
              </c:strCache>
            </c:strRef>
          </c:tx>
          <c:spPr>
            <a:pattFill prst="narVert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dLbl>
              <c:idx val="2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'Deptos-muni'!$A$21:$A$63</c:f>
              <c:strCache>
                <c:ptCount val="43"/>
                <c:pt idx="0">
                  <c:v>Acajutla</c:v>
                </c:pt>
                <c:pt idx="1">
                  <c:v>Apopa</c:v>
                </c:pt>
                <c:pt idx="2">
                  <c:v>Alegría</c:v>
                </c:pt>
                <c:pt idx="3">
                  <c:v>Atiquizaya</c:v>
                </c:pt>
                <c:pt idx="4">
                  <c:v>Antiguo Cuscatlán</c:v>
                </c:pt>
                <c:pt idx="5">
                  <c:v>Atiquizaya</c:v>
                </c:pt>
                <c:pt idx="6">
                  <c:v>Armenia</c:v>
                </c:pt>
                <c:pt idx="7">
                  <c:v>Chalchuapa</c:v>
                </c:pt>
                <c:pt idx="8">
                  <c:v>Chiltiupán</c:v>
                </c:pt>
                <c:pt idx="9">
                  <c:v>Ciudad Delgado</c:v>
                </c:pt>
                <c:pt idx="10">
                  <c:v>Caluco</c:v>
                </c:pt>
                <c:pt idx="11">
                  <c:v>Colón</c:v>
                </c:pt>
                <c:pt idx="12">
                  <c:v>Cuisnahuat</c:v>
                </c:pt>
                <c:pt idx="13">
                  <c:v>Dolores</c:v>
                </c:pt>
                <c:pt idx="14">
                  <c:v>Ilopango</c:v>
                </c:pt>
                <c:pt idx="15">
                  <c:v>Jujutla</c:v>
                </c:pt>
                <c:pt idx="16">
                  <c:v>La Libertad</c:v>
                </c:pt>
                <c:pt idx="17">
                  <c:v>La Unión</c:v>
                </c:pt>
                <c:pt idx="18">
                  <c:v>Quezaltepeque</c:v>
                </c:pt>
                <c:pt idx="19">
                  <c:v>San Francisco Menéndez</c:v>
                </c:pt>
                <c:pt idx="20">
                  <c:v>San Juan Opico</c:v>
                </c:pt>
                <c:pt idx="21">
                  <c:v>San Julian</c:v>
                </c:pt>
                <c:pt idx="22">
                  <c:v>San Antonio Masahuat </c:v>
                </c:pt>
                <c:pt idx="23">
                  <c:v>San Luis La Herradura</c:v>
                </c:pt>
                <c:pt idx="24">
                  <c:v>San Luis Talpa</c:v>
                </c:pt>
                <c:pt idx="25">
                  <c:v>San Marcos</c:v>
                </c:pt>
                <c:pt idx="26">
                  <c:v>San Pedro Perulapan</c:v>
                </c:pt>
                <c:pt idx="27">
                  <c:v>San Miguel </c:v>
                </c:pt>
                <c:pt idx="28">
                  <c:v>San Salvador</c:v>
                </c:pt>
                <c:pt idx="29">
                  <c:v>Santa Clara</c:v>
                </c:pt>
                <c:pt idx="30">
                  <c:v>Santa Rosa de Lima</c:v>
                </c:pt>
                <c:pt idx="31">
                  <c:v>Santa Elena</c:v>
                </c:pt>
                <c:pt idx="32">
                  <c:v>Santo Domingo</c:v>
                </c:pt>
                <c:pt idx="33">
                  <c:v>Sensuntepeque</c:v>
                </c:pt>
                <c:pt idx="34">
                  <c:v>San Vicente</c:v>
                </c:pt>
                <c:pt idx="35">
                  <c:v>Santa Isabel Ishuatan</c:v>
                </c:pt>
                <c:pt idx="36">
                  <c:v>Sonsonate</c:v>
                </c:pt>
                <c:pt idx="37">
                  <c:v>Soyapango</c:v>
                </c:pt>
                <c:pt idx="38">
                  <c:v>Tacuba</c:v>
                </c:pt>
                <c:pt idx="39">
                  <c:v>Tecoluca</c:v>
                </c:pt>
                <c:pt idx="40">
                  <c:v>Teotepeque</c:v>
                </c:pt>
                <c:pt idx="41">
                  <c:v>Tonacatepeque</c:v>
                </c:pt>
                <c:pt idx="42">
                  <c:v>Victoria</c:v>
                </c:pt>
              </c:strCache>
            </c:strRef>
          </c:cat>
          <c:val>
            <c:numRef>
              <c:f>'Deptos-muni'!$D$21:$D$63</c:f>
              <c:numCache>
                <c:formatCode>General</c:formatCode>
                <c:ptCount val="43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1</c:v>
                </c:pt>
                <c:pt idx="27">
                  <c:v>0</c:v>
                </c:pt>
                <c:pt idx="28">
                  <c:v>20</c:v>
                </c:pt>
                <c:pt idx="29">
                  <c:v>0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1</c:v>
                </c:pt>
                <c:pt idx="37">
                  <c:v>0</c:v>
                </c:pt>
                <c:pt idx="38">
                  <c:v>1</c:v>
                </c:pt>
                <c:pt idx="39">
                  <c:v>0</c:v>
                </c:pt>
                <c:pt idx="40">
                  <c:v>1</c:v>
                </c:pt>
                <c:pt idx="41">
                  <c:v>1</c:v>
                </c:pt>
                <c:pt idx="4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964044272"/>
        <c:axId val="964049168"/>
      </c:barChart>
      <c:catAx>
        <c:axId val="96404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gency FB" panose="020B0503020202020204" pitchFamily="34" charset="0"/>
                <a:ea typeface="+mn-ea"/>
                <a:cs typeface="+mn-cs"/>
              </a:defRPr>
            </a:pPr>
            <a:endParaRPr lang="es-SV"/>
          </a:p>
        </c:txPr>
        <c:crossAx val="964049168"/>
        <c:crosses val="autoZero"/>
        <c:auto val="1"/>
        <c:lblAlgn val="ctr"/>
        <c:lblOffset val="100"/>
        <c:noMultiLvlLbl val="0"/>
      </c:catAx>
      <c:valAx>
        <c:axId val="96404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04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0558767482831775"/>
          <c:y val="0.67525161854768156"/>
          <c:w val="0.25717124737646141"/>
          <c:h val="0.213961329833770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Actividades realizadas</a:t>
            </a:r>
          </a:p>
        </c:rich>
      </c:tx>
      <c:layout>
        <c:manualLayout>
          <c:xMode val="edge"/>
          <c:yMode val="edge"/>
          <c:x val="0.37469276446827121"/>
          <c:y val="2.7777756068332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653718796509084E-2"/>
          <c:y val="0.18718043223320485"/>
          <c:w val="0.96440129903405714"/>
          <c:h val="0.4264547073459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'Acción realizada'!$B$2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'Acción realizada'!$A$3:$A$16</c:f>
              <c:strCache>
                <c:ptCount val="14"/>
                <c:pt idx="0">
                  <c:v>Acompañamiento a titular</c:v>
                </c:pt>
                <c:pt idx="1">
                  <c:v>Asamblea Informativa</c:v>
                </c:pt>
                <c:pt idx="2">
                  <c:v>Asistencia social en conflicto</c:v>
                </c:pt>
                <c:pt idx="3">
                  <c:v>Atención y orientación de la ciudadanía en oficina</c:v>
                </c:pt>
                <c:pt idx="4">
                  <c:v>Censo</c:v>
                </c:pt>
                <c:pt idx="5">
                  <c:v>Consulta Pública Ciudadana</c:v>
                </c:pt>
                <c:pt idx="6">
                  <c:v>Gestión Social en procesos, programas, proyectos de nación</c:v>
                </c:pt>
                <c:pt idx="7">
                  <c:v>Inspección in situ (para recolección de información social, reconocimiento de problemática)</c:v>
                </c:pt>
                <c:pt idx="8">
                  <c:v>Participación en actividad/reunión de Gabinete Departamental</c:v>
                </c:pt>
                <c:pt idx="9">
                  <c:v>Reunión con otras áreas MOPT/FOVIAL</c:v>
                </c:pt>
                <c:pt idx="10">
                  <c:v>Reunión con representantes de ADESCO, Junta Directiva, Comité, enlaces de ciudadanía</c:v>
                </c:pt>
                <c:pt idx="11">
                  <c:v>Reunión de trabajo (empresa contratada, cooperantes, u otros etc..)</c:v>
                </c:pt>
                <c:pt idx="12">
                  <c:v>Reunión virtual de trabajo</c:v>
                </c:pt>
                <c:pt idx="13">
                  <c:v>Visita o reunión con municipalidad</c:v>
                </c:pt>
              </c:strCache>
            </c:strRef>
          </c:cat>
          <c:val>
            <c:numRef>
              <c:f>'Acción realizada'!$B$3:$B$16</c:f>
              <c:numCache>
                <c:formatCode>General</c:formatCode>
                <c:ptCount val="14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2</c:v>
                </c:pt>
                <c:pt idx="6">
                  <c:v>6</c:v>
                </c:pt>
                <c:pt idx="7">
                  <c:v>5</c:v>
                </c:pt>
                <c:pt idx="8">
                  <c:v>2</c:v>
                </c:pt>
                <c:pt idx="9">
                  <c:v>13</c:v>
                </c:pt>
                <c:pt idx="10">
                  <c:v>8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'Acción realizada'!$C$2</c:f>
              <c:strCache>
                <c:ptCount val="1"/>
                <c:pt idx="0">
                  <c:v>mayo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'Acción realizada'!$A$3:$A$16</c:f>
              <c:strCache>
                <c:ptCount val="14"/>
                <c:pt idx="0">
                  <c:v>Acompañamiento a titular</c:v>
                </c:pt>
                <c:pt idx="1">
                  <c:v>Asamblea Informativa</c:v>
                </c:pt>
                <c:pt idx="2">
                  <c:v>Asistencia social en conflicto</c:v>
                </c:pt>
                <c:pt idx="3">
                  <c:v>Atención y orientación de la ciudadanía en oficina</c:v>
                </c:pt>
                <c:pt idx="4">
                  <c:v>Censo</c:v>
                </c:pt>
                <c:pt idx="5">
                  <c:v>Consulta Pública Ciudadana</c:v>
                </c:pt>
                <c:pt idx="6">
                  <c:v>Gestión Social en procesos, programas, proyectos de nación</c:v>
                </c:pt>
                <c:pt idx="7">
                  <c:v>Inspección in situ (para recolección de información social, reconocimiento de problemática)</c:v>
                </c:pt>
                <c:pt idx="8">
                  <c:v>Participación en actividad/reunión de Gabinete Departamental</c:v>
                </c:pt>
                <c:pt idx="9">
                  <c:v>Reunión con otras áreas MOPT/FOVIAL</c:v>
                </c:pt>
                <c:pt idx="10">
                  <c:v>Reunión con representantes de ADESCO, Junta Directiva, Comité, enlaces de ciudadanía</c:v>
                </c:pt>
                <c:pt idx="11">
                  <c:v>Reunión de trabajo (empresa contratada, cooperantes, u otros etc..)</c:v>
                </c:pt>
                <c:pt idx="12">
                  <c:v>Reunión virtual de trabajo</c:v>
                </c:pt>
                <c:pt idx="13">
                  <c:v>Visita o reunión con municipalidad</c:v>
                </c:pt>
              </c:strCache>
            </c:strRef>
          </c:cat>
          <c:val>
            <c:numRef>
              <c:f>'Acción realizada'!$C$3:$C$16</c:f>
              <c:numCache>
                <c:formatCode>General</c:formatCode>
                <c:ptCount val="14"/>
                <c:pt idx="0">
                  <c:v>2</c:v>
                </c:pt>
                <c:pt idx="1">
                  <c:v>7</c:v>
                </c:pt>
                <c:pt idx="2">
                  <c:v>3</c:v>
                </c:pt>
                <c:pt idx="3">
                  <c:v>9</c:v>
                </c:pt>
                <c:pt idx="4">
                  <c:v>0</c:v>
                </c:pt>
                <c:pt idx="5">
                  <c:v>2</c:v>
                </c:pt>
                <c:pt idx="6">
                  <c:v>6</c:v>
                </c:pt>
                <c:pt idx="7">
                  <c:v>25</c:v>
                </c:pt>
                <c:pt idx="8">
                  <c:v>1</c:v>
                </c:pt>
                <c:pt idx="9">
                  <c:v>7</c:v>
                </c:pt>
                <c:pt idx="10">
                  <c:v>2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</c:numCache>
            </c:numRef>
          </c:val>
        </c:ser>
        <c:ser>
          <c:idx val="2"/>
          <c:order val="2"/>
          <c:tx>
            <c:strRef>
              <c:f>'Acción realizada'!$D$2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'Acción realizada'!$A$3:$A$16</c:f>
              <c:strCache>
                <c:ptCount val="14"/>
                <c:pt idx="0">
                  <c:v>Acompañamiento a titular</c:v>
                </c:pt>
                <c:pt idx="1">
                  <c:v>Asamblea Informativa</c:v>
                </c:pt>
                <c:pt idx="2">
                  <c:v>Asistencia social en conflicto</c:v>
                </c:pt>
                <c:pt idx="3">
                  <c:v>Atención y orientación de la ciudadanía en oficina</c:v>
                </c:pt>
                <c:pt idx="4">
                  <c:v>Censo</c:v>
                </c:pt>
                <c:pt idx="5">
                  <c:v>Consulta Pública Ciudadana</c:v>
                </c:pt>
                <c:pt idx="6">
                  <c:v>Gestión Social en procesos, programas, proyectos de nación</c:v>
                </c:pt>
                <c:pt idx="7">
                  <c:v>Inspección in situ (para recolección de información social, reconocimiento de problemática)</c:v>
                </c:pt>
                <c:pt idx="8">
                  <c:v>Participación en actividad/reunión de Gabinete Departamental</c:v>
                </c:pt>
                <c:pt idx="9">
                  <c:v>Reunión con otras áreas MOPT/FOVIAL</c:v>
                </c:pt>
                <c:pt idx="10">
                  <c:v>Reunión con representantes de ADESCO, Junta Directiva, Comité, enlaces de ciudadanía</c:v>
                </c:pt>
                <c:pt idx="11">
                  <c:v>Reunión de trabajo (empresa contratada, cooperantes, u otros etc..)</c:v>
                </c:pt>
                <c:pt idx="12">
                  <c:v>Reunión virtual de trabajo</c:v>
                </c:pt>
                <c:pt idx="13">
                  <c:v>Visita o reunión con municipalidad</c:v>
                </c:pt>
              </c:strCache>
            </c:strRef>
          </c:cat>
          <c:val>
            <c:numRef>
              <c:f>'Acción realizada'!$D$3:$D$16</c:f>
              <c:numCache>
                <c:formatCode>General</c:formatCode>
                <c:ptCount val="14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13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17</c:v>
                </c:pt>
                <c:pt idx="8">
                  <c:v>0</c:v>
                </c:pt>
                <c:pt idx="9">
                  <c:v>11</c:v>
                </c:pt>
                <c:pt idx="10">
                  <c:v>17</c:v>
                </c:pt>
                <c:pt idx="11">
                  <c:v>3</c:v>
                </c:pt>
                <c:pt idx="12">
                  <c:v>3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4414704"/>
        <c:axId val="968421616"/>
        <c:axId val="0"/>
      </c:bar3DChart>
      <c:catAx>
        <c:axId val="96441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8421616"/>
        <c:crosses val="autoZero"/>
        <c:auto val="1"/>
        <c:lblAlgn val="ctr"/>
        <c:lblOffset val="100"/>
        <c:noMultiLvlLbl val="0"/>
      </c:catAx>
      <c:valAx>
        <c:axId val="96842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441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115318653530785E-2"/>
          <c:y val="8.296767868555438E-2"/>
          <c:w val="0.27210364661864078"/>
          <c:h val="8.22998117791107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por teléfono abierto</a:t>
            </a:r>
            <a:endParaRPr lang="es-SV"/>
          </a:p>
        </c:rich>
      </c:tx>
      <c:layout>
        <c:manualLayout>
          <c:xMode val="edge"/>
          <c:yMode val="edge"/>
          <c:x val="5.6016955099863854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228734578233181E-3"/>
          <c:y val="3.3052085498110388E-2"/>
          <c:w val="0.88114495854376795"/>
          <c:h val="0.8219942066827138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'Trimestre II'!$A$17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'Trimestre II'!$A$18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'Trimestre II'!$C$17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'Trimestre II'!$C$18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4"/>
          <c:order val="4"/>
          <c:tx>
            <c:strRef>
              <c:f>'Trimestre II'!$E$17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'Trimestre II'!$E$18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5"/>
          <c:order val="5"/>
          <c:tx>
            <c:strRef>
              <c:f>'Trimestre II'!$F$17</c:f>
              <c:strCache>
                <c:ptCount val="1"/>
                <c:pt idx="0">
                  <c:v>Trimestre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'Trimestre II'!$F$18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967338224"/>
        <c:axId val="967338768"/>
        <c:axId val="96267531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'Trimestre II'!$B$17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'Trimestre II'!$B$18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'Trimestre II'!$D$17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'Trimestre II'!$D$18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</c:ext>
        </c:extLst>
      </c:bar3DChart>
      <c:catAx>
        <c:axId val="9673382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67338768"/>
        <c:crosses val="autoZero"/>
        <c:auto val="1"/>
        <c:lblAlgn val="ctr"/>
        <c:lblOffset val="100"/>
        <c:noMultiLvlLbl val="0"/>
      </c:catAx>
      <c:valAx>
        <c:axId val="967338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67338224"/>
        <c:crosses val="autoZero"/>
        <c:crossBetween val="between"/>
      </c:valAx>
      <c:serAx>
        <c:axId val="9626753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73387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via chat por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II'!$B$24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II'!$A$25:$A$35</c:f>
              <c:strCache>
                <c:ptCount val="11"/>
                <c:pt idx="0">
                  <c:v>San Salvador</c:v>
                </c:pt>
                <c:pt idx="1">
                  <c:v>Chalatenango</c:v>
                </c:pt>
                <c:pt idx="2">
                  <c:v>Santa Ana</c:v>
                </c:pt>
                <c:pt idx="3">
                  <c:v>San Miguel</c:v>
                </c:pt>
                <c:pt idx="4">
                  <c:v>La Libertad</c:v>
                </c:pt>
                <c:pt idx="5">
                  <c:v>Cuscatlán</c:v>
                </c:pt>
                <c:pt idx="6">
                  <c:v>Cabañas </c:v>
                </c:pt>
                <c:pt idx="7">
                  <c:v>La Paz</c:v>
                </c:pt>
                <c:pt idx="8">
                  <c:v>Sonsonate</c:v>
                </c:pt>
                <c:pt idx="9">
                  <c:v>Usulután</c:v>
                </c:pt>
                <c:pt idx="10">
                  <c:v>La Unión</c:v>
                </c:pt>
              </c:strCache>
            </c:strRef>
          </c:cat>
          <c:val>
            <c:numRef>
              <c:f>'Trimestre II'!$B$25:$B$35</c:f>
              <c:numCache>
                <c:formatCode>General</c:formatCode>
                <c:ptCount val="11"/>
                <c:pt idx="0">
                  <c:v>27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'Trimestre II'!$C$24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II'!$A$25:$A$35</c:f>
              <c:strCache>
                <c:ptCount val="11"/>
                <c:pt idx="0">
                  <c:v>San Salvador</c:v>
                </c:pt>
                <c:pt idx="1">
                  <c:v>Chalatenango</c:v>
                </c:pt>
                <c:pt idx="2">
                  <c:v>Santa Ana</c:v>
                </c:pt>
                <c:pt idx="3">
                  <c:v>San Miguel</c:v>
                </c:pt>
                <c:pt idx="4">
                  <c:v>La Libertad</c:v>
                </c:pt>
                <c:pt idx="5">
                  <c:v>Cuscatlán</c:v>
                </c:pt>
                <c:pt idx="6">
                  <c:v>Cabañas </c:v>
                </c:pt>
                <c:pt idx="7">
                  <c:v>La Paz</c:v>
                </c:pt>
                <c:pt idx="8">
                  <c:v>Sonsonate</c:v>
                </c:pt>
                <c:pt idx="9">
                  <c:v>Usulután</c:v>
                </c:pt>
                <c:pt idx="10">
                  <c:v>La Unión</c:v>
                </c:pt>
              </c:strCache>
            </c:strRef>
          </c:cat>
          <c:val>
            <c:numRef>
              <c:f>'Trimestre II'!$C$25:$C$35</c:f>
              <c:numCache>
                <c:formatCode>General</c:formatCode>
                <c:ptCount val="11"/>
                <c:pt idx="0">
                  <c:v>13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'Trimestre II'!$D$24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II'!$A$25:$A$35</c:f>
              <c:strCache>
                <c:ptCount val="11"/>
                <c:pt idx="0">
                  <c:v>San Salvador</c:v>
                </c:pt>
                <c:pt idx="1">
                  <c:v>Chalatenango</c:v>
                </c:pt>
                <c:pt idx="2">
                  <c:v>Santa Ana</c:v>
                </c:pt>
                <c:pt idx="3">
                  <c:v>San Miguel</c:v>
                </c:pt>
                <c:pt idx="4">
                  <c:v>La Libertad</c:v>
                </c:pt>
                <c:pt idx="5">
                  <c:v>Cuscatlán</c:v>
                </c:pt>
                <c:pt idx="6">
                  <c:v>Cabañas </c:v>
                </c:pt>
                <c:pt idx="7">
                  <c:v>La Paz</c:v>
                </c:pt>
                <c:pt idx="8">
                  <c:v>Sonsonate</c:v>
                </c:pt>
                <c:pt idx="9">
                  <c:v>Usulután</c:v>
                </c:pt>
                <c:pt idx="10">
                  <c:v>La Unión</c:v>
                </c:pt>
              </c:strCache>
            </c:strRef>
          </c:cat>
          <c:val>
            <c:numRef>
              <c:f>'Trimestre II'!$D$25:$D$35</c:f>
              <c:numCache>
                <c:formatCode>General</c:formatCode>
                <c:ptCount val="11"/>
                <c:pt idx="0">
                  <c:v>15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7335504"/>
        <c:axId val="967339312"/>
      </c:barChart>
      <c:catAx>
        <c:axId val="96733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7339312"/>
        <c:crosses val="autoZero"/>
        <c:auto val="1"/>
        <c:lblAlgn val="ctr"/>
        <c:lblOffset val="100"/>
        <c:noMultiLvlLbl val="0"/>
      </c:catAx>
      <c:valAx>
        <c:axId val="96733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6733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1A22-CDD5-4B19-BDB7-B3DB902A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</cp:revision>
  <dcterms:created xsi:type="dcterms:W3CDTF">2023-07-24T21:20:00Z</dcterms:created>
  <dcterms:modified xsi:type="dcterms:W3CDTF">2023-07-24T21:20:00Z</dcterms:modified>
</cp:coreProperties>
</file>