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60" w:rsidRDefault="00137960"/>
    <w:p w:rsidR="009F2FEE" w:rsidRDefault="007D340A" w:rsidP="00ED4EA5">
      <w:pPr>
        <w:pStyle w:val="Ttulo1"/>
        <w:spacing w:before="0"/>
        <w:jc w:val="center"/>
        <w:rPr>
          <w:b/>
          <w:color w:val="auto"/>
        </w:rPr>
      </w:pPr>
      <w:r>
        <w:rPr>
          <w:b/>
          <w:color w:val="auto"/>
        </w:rPr>
        <w:t xml:space="preserve">INFORME DE </w:t>
      </w:r>
      <w:r w:rsidR="009F2FEE">
        <w:rPr>
          <w:b/>
          <w:color w:val="auto"/>
        </w:rPr>
        <w:t xml:space="preserve">RESULTADOS DE </w:t>
      </w:r>
      <w:r w:rsidRPr="007D340A">
        <w:rPr>
          <w:b/>
          <w:color w:val="auto"/>
        </w:rPr>
        <w:t>PARTICIPACIÓN CIUDA</w:t>
      </w:r>
      <w:r w:rsidR="009F2FEE">
        <w:rPr>
          <w:b/>
          <w:color w:val="auto"/>
        </w:rPr>
        <w:t>DA</w:t>
      </w:r>
      <w:r w:rsidRPr="007D340A">
        <w:rPr>
          <w:b/>
          <w:color w:val="auto"/>
        </w:rPr>
        <w:t>NA</w:t>
      </w:r>
      <w:r>
        <w:rPr>
          <w:b/>
          <w:color w:val="auto"/>
        </w:rPr>
        <w:t xml:space="preserve"> </w:t>
      </w:r>
    </w:p>
    <w:p w:rsidR="00180E43" w:rsidRPr="007D340A" w:rsidRDefault="007D340A" w:rsidP="00ED4EA5">
      <w:pPr>
        <w:pStyle w:val="Ttulo1"/>
        <w:spacing w:before="0"/>
        <w:jc w:val="center"/>
        <w:rPr>
          <w:b/>
          <w:color w:val="auto"/>
        </w:rPr>
      </w:pPr>
      <w:r>
        <w:rPr>
          <w:b/>
          <w:color w:val="auto"/>
        </w:rPr>
        <w:t>EN PRIMER TRIMESTRE 202</w:t>
      </w:r>
      <w:r w:rsidR="00985AC2">
        <w:rPr>
          <w:b/>
          <w:color w:val="auto"/>
        </w:rPr>
        <w:t>3</w:t>
      </w:r>
    </w:p>
    <w:p w:rsidR="009F2FEE" w:rsidRDefault="009F2FEE" w:rsidP="007D340A">
      <w:pPr>
        <w:jc w:val="both"/>
      </w:pPr>
    </w:p>
    <w:p w:rsidR="009F2FEE" w:rsidRDefault="009F2FEE" w:rsidP="009F2FEE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</w:t>
      </w:r>
      <w:r w:rsidRPr="00E53413">
        <w:rPr>
          <w:rFonts w:ascii="Garamond" w:hAnsi="Garamond"/>
          <w:sz w:val="24"/>
        </w:rPr>
        <w:t xml:space="preserve">a </w:t>
      </w:r>
      <w:r>
        <w:rPr>
          <w:rFonts w:ascii="Garamond" w:hAnsi="Garamond"/>
          <w:sz w:val="24"/>
        </w:rPr>
        <w:t xml:space="preserve">Gerencia de </w:t>
      </w:r>
      <w:r w:rsidRPr="00E53413">
        <w:rPr>
          <w:rFonts w:ascii="Garamond" w:hAnsi="Garamond"/>
          <w:sz w:val="24"/>
        </w:rPr>
        <w:t>Gestión Social (</w:t>
      </w:r>
      <w:r>
        <w:rPr>
          <w:rFonts w:ascii="Garamond" w:hAnsi="Garamond"/>
          <w:sz w:val="24"/>
        </w:rPr>
        <w:t>G</w:t>
      </w:r>
      <w:r w:rsidRPr="00E53413">
        <w:rPr>
          <w:rFonts w:ascii="Garamond" w:hAnsi="Garamond"/>
          <w:sz w:val="24"/>
        </w:rPr>
        <w:t>GS)</w:t>
      </w:r>
      <w:r>
        <w:rPr>
          <w:rFonts w:ascii="Garamond" w:hAnsi="Garamond"/>
          <w:sz w:val="24"/>
        </w:rPr>
        <w:t xml:space="preserve"> realiza acciones para la promoción de la  ejecuta están recopilados en un Manual de Participación Ciudadana; en la actualidad este documento está en proceso de revisión y actualización.</w:t>
      </w:r>
    </w:p>
    <w:p w:rsidR="009F2FEE" w:rsidRPr="00E53413" w:rsidRDefault="009F2FEE" w:rsidP="009F2FEE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Los espacios y mecanismos desarrollados en este primer trimestre de 2023 garantizan a la ciudadanía su derecho </w:t>
      </w:r>
      <w:r w:rsidRPr="00E53413">
        <w:rPr>
          <w:rFonts w:ascii="Garamond" w:hAnsi="Garamond"/>
          <w:sz w:val="24"/>
        </w:rPr>
        <w:t xml:space="preserve">político </w:t>
      </w:r>
      <w:r>
        <w:rPr>
          <w:rFonts w:ascii="Garamond" w:hAnsi="Garamond"/>
          <w:sz w:val="24"/>
        </w:rPr>
        <w:t xml:space="preserve">a poder </w:t>
      </w:r>
      <w:r w:rsidRPr="00E53413">
        <w:rPr>
          <w:rFonts w:ascii="Garamond" w:hAnsi="Garamond"/>
          <w:sz w:val="24"/>
        </w:rPr>
        <w:t>participar en la definición, implementación y fiscalización de las políticas públicas</w:t>
      </w:r>
      <w:r>
        <w:rPr>
          <w:rFonts w:ascii="Garamond" w:hAnsi="Garamond"/>
          <w:sz w:val="24"/>
        </w:rPr>
        <w:t xml:space="preserve"> y mantienen su carácter</w:t>
      </w:r>
      <w:r w:rsidRPr="00E53413">
        <w:rPr>
          <w:rFonts w:ascii="Garamond" w:hAnsi="Garamond"/>
          <w:sz w:val="24"/>
        </w:rPr>
        <w:t>:</w:t>
      </w:r>
    </w:p>
    <w:p w:rsidR="009F2FEE" w:rsidRPr="00E53413" w:rsidRDefault="009F2FEE" w:rsidP="009F2FEE">
      <w:pPr>
        <w:pStyle w:val="Prrafodelista"/>
        <w:numPr>
          <w:ilvl w:val="0"/>
          <w:numId w:val="1"/>
        </w:numPr>
        <w:adjustRightInd/>
        <w:spacing w:after="200" w:line="276" w:lineRule="auto"/>
        <w:ind w:left="567" w:hanging="283"/>
        <w:rPr>
          <w:rFonts w:ascii="Garamond" w:hAnsi="Garamond"/>
        </w:rPr>
      </w:pPr>
      <w:r w:rsidRPr="00A01FF2">
        <w:rPr>
          <w:rFonts w:ascii="Garamond" w:hAnsi="Garamond"/>
          <w:b/>
        </w:rPr>
        <w:t>Informativos:</w:t>
      </w:r>
      <w:r w:rsidRPr="00E53413">
        <w:rPr>
          <w:rFonts w:ascii="Garamond" w:hAnsi="Garamond"/>
        </w:rPr>
        <w:t xml:space="preserve"> cuando se provee de información relacionada con la gestión que realiza el MOPT, como un factor clave para que la ciudadanía pueda emitir opinión o tomar decisiones en forma consciente y responsable, y como un requisito para la transparencia en la gestión pública.</w:t>
      </w:r>
    </w:p>
    <w:p w:rsidR="009F2FEE" w:rsidRPr="00E53413" w:rsidRDefault="009F2FEE" w:rsidP="009F2FEE">
      <w:pPr>
        <w:pStyle w:val="Prrafodelista"/>
        <w:spacing w:line="276" w:lineRule="auto"/>
        <w:ind w:left="567" w:hanging="283"/>
        <w:rPr>
          <w:rFonts w:ascii="Garamond" w:hAnsi="Garamond"/>
        </w:rPr>
      </w:pPr>
    </w:p>
    <w:p w:rsidR="009F2FEE" w:rsidRPr="00E53413" w:rsidRDefault="009F2FEE" w:rsidP="009F2FEE">
      <w:pPr>
        <w:pStyle w:val="Prrafodelista"/>
        <w:numPr>
          <w:ilvl w:val="0"/>
          <w:numId w:val="1"/>
        </w:numPr>
        <w:adjustRightInd/>
        <w:spacing w:after="200" w:line="276" w:lineRule="auto"/>
        <w:ind w:left="567" w:hanging="283"/>
        <w:rPr>
          <w:rFonts w:ascii="Garamond" w:hAnsi="Garamond"/>
        </w:rPr>
      </w:pPr>
      <w:r w:rsidRPr="00A01FF2">
        <w:rPr>
          <w:rFonts w:ascii="Garamond" w:hAnsi="Garamond"/>
          <w:b/>
        </w:rPr>
        <w:t>Consultivos:</w:t>
      </w:r>
      <w:r w:rsidRPr="00E53413">
        <w:rPr>
          <w:rFonts w:ascii="Garamond" w:hAnsi="Garamond"/>
        </w:rPr>
        <w:t xml:space="preserve"> cuando se profundiza en la participación ciudadana, ya que MOPT se vuelve una instancia a través de la cual podrá acompañar la toma de decisiones y hacer el seguimiento de las acciones o la gestión impulsada por los servicios que la ciudadanía ha solicitado.</w:t>
      </w:r>
    </w:p>
    <w:p w:rsidR="009F2FEE" w:rsidRPr="00E53413" w:rsidRDefault="009F2FEE" w:rsidP="009F2FEE">
      <w:pPr>
        <w:pStyle w:val="Prrafodelista"/>
        <w:spacing w:line="276" w:lineRule="auto"/>
        <w:ind w:left="567" w:hanging="283"/>
        <w:rPr>
          <w:rFonts w:ascii="Garamond" w:hAnsi="Garamond"/>
        </w:rPr>
      </w:pPr>
    </w:p>
    <w:p w:rsidR="009F2FEE" w:rsidRDefault="009F2FEE" w:rsidP="009F2FEE">
      <w:pPr>
        <w:pStyle w:val="Prrafodelista"/>
        <w:numPr>
          <w:ilvl w:val="0"/>
          <w:numId w:val="1"/>
        </w:numPr>
        <w:adjustRightInd/>
        <w:spacing w:after="200" w:line="276" w:lineRule="auto"/>
        <w:ind w:left="567" w:hanging="283"/>
        <w:rPr>
          <w:rFonts w:ascii="Garamond" w:hAnsi="Garamond"/>
        </w:rPr>
      </w:pPr>
      <w:r w:rsidRPr="00A01FF2">
        <w:rPr>
          <w:rFonts w:ascii="Garamond" w:hAnsi="Garamond"/>
          <w:b/>
        </w:rPr>
        <w:t>Resolutivos:</w:t>
      </w:r>
      <w:r w:rsidRPr="00E53413">
        <w:rPr>
          <w:rFonts w:ascii="Garamond" w:hAnsi="Garamond"/>
        </w:rPr>
        <w:t xml:space="preserve"> aquellos mecanismos que tienen la capacidad de resolver o de buscar la solución a una situación que así lo requiera y que afecte a la ciudadanía de un lugar determinado.</w:t>
      </w:r>
    </w:p>
    <w:p w:rsidR="009F2FEE" w:rsidRPr="003D666C" w:rsidRDefault="009F2FEE" w:rsidP="009F2FEE">
      <w:pPr>
        <w:pStyle w:val="Prrafodelista"/>
        <w:spacing w:line="276" w:lineRule="auto"/>
        <w:rPr>
          <w:rFonts w:ascii="Garamond" w:hAnsi="Garamond"/>
        </w:rPr>
      </w:pPr>
    </w:p>
    <w:p w:rsidR="009F2FEE" w:rsidRDefault="009F2FEE" w:rsidP="009F2FEE">
      <w:pPr>
        <w:spacing w:line="276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El trabajo de la Gerencia de Gestión Social tiene como resultado facilitar la coordinación con municipalidades </w:t>
      </w:r>
      <w:r w:rsidRPr="00E53413">
        <w:rPr>
          <w:rFonts w:ascii="Garamond" w:hAnsi="Garamond"/>
          <w:sz w:val="24"/>
        </w:rPr>
        <w:t xml:space="preserve">y otras dependencias de gobierno, organizaciones comunitarias, </w:t>
      </w:r>
      <w:r>
        <w:rPr>
          <w:rFonts w:ascii="Garamond" w:hAnsi="Garamond"/>
          <w:sz w:val="24"/>
        </w:rPr>
        <w:t>y o</w:t>
      </w:r>
      <w:r w:rsidRPr="00E53413">
        <w:rPr>
          <w:rFonts w:ascii="Garamond" w:hAnsi="Garamond"/>
          <w:sz w:val="24"/>
        </w:rPr>
        <w:t>tros actores locales que demandan la realización de obras públicas</w:t>
      </w:r>
      <w:r>
        <w:rPr>
          <w:rFonts w:ascii="Garamond" w:hAnsi="Garamond"/>
          <w:sz w:val="24"/>
        </w:rPr>
        <w:t xml:space="preserve">, así en el primer trimestre de 2023 se ha dado cobertura a los catorce departamentos con un nivel diferenciado de intervención; para el caso Chalatenango y Morazán solo tuvieron una, </w:t>
      </w:r>
      <w:r w:rsidR="00253128">
        <w:rPr>
          <w:rFonts w:ascii="Garamond" w:hAnsi="Garamond"/>
          <w:sz w:val="24"/>
        </w:rPr>
        <w:t>San Vicente dos, y Cuscatlán y Santa Ana tres, tal como se puede apreciar en la siguiente gráfica.</w:t>
      </w:r>
    </w:p>
    <w:p w:rsidR="00253128" w:rsidRDefault="00253128" w:rsidP="009F2FEE">
      <w:pPr>
        <w:spacing w:line="276" w:lineRule="auto"/>
        <w:jc w:val="both"/>
        <w:rPr>
          <w:rFonts w:ascii="Garamond" w:hAnsi="Garamond"/>
          <w:sz w:val="24"/>
        </w:rPr>
      </w:pPr>
    </w:p>
    <w:p w:rsidR="009F2FEE" w:rsidRPr="00E53413" w:rsidRDefault="009F2FEE" w:rsidP="009F2FEE">
      <w:pPr>
        <w:spacing w:line="276" w:lineRule="auto"/>
        <w:jc w:val="both"/>
        <w:rPr>
          <w:rFonts w:ascii="Garamond" w:hAnsi="Garamond"/>
          <w:sz w:val="24"/>
        </w:rPr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253128" w:rsidP="007D340A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7C75166" wp14:editId="548A79CA">
                <wp:simplePos x="0" y="0"/>
                <wp:positionH relativeFrom="column">
                  <wp:posOffset>177165</wp:posOffset>
                </wp:positionH>
                <wp:positionV relativeFrom="paragraph">
                  <wp:posOffset>4645660</wp:posOffset>
                </wp:positionV>
                <wp:extent cx="5734050" cy="1070610"/>
                <wp:effectExtent l="19050" t="19050" r="19050" b="1524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7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EE" w:rsidRDefault="009F2FEE" w:rsidP="009F2FEE">
                            <w:pPr>
                              <w:jc w:val="both"/>
                            </w:pPr>
                            <w:r>
                              <w:t>Con los acciones de participación ciudadana se le dio atención a los 14 departamentos con la frecuencia en cada uno tal como lo muestra la gráfica, en San Salvador se realizaron noventa y tres (93), en la Libertad treinta y siete (37) y en La Paz doce (12) siendo los de mayor atención recibida</w:t>
                            </w:r>
                            <w:r w:rsidR="00253128">
                              <w:t>. E</w:t>
                            </w:r>
                            <w:r>
                              <w:t>l Departamento de Chalatenango y Morazán con una acción realizada, corresponde</w:t>
                            </w:r>
                            <w:r w:rsidR="00253128">
                              <w:t>n</w:t>
                            </w:r>
                            <w:r>
                              <w:t xml:space="preserve"> a los menos atendidos.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751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3.95pt;margin-top:365.8pt;width:451.5pt;height:84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" strokecolor="#9dc3e6" strokeweight="2.25pt">
                <v:textbox>
                  <w:txbxContent>
                    <w:p w:rsidR="009F2FEE" w:rsidRDefault="009F2FEE" w:rsidP="009F2FEE">
                      <w:pPr>
                        <w:jc w:val="both"/>
                      </w:pPr>
                      <w:r>
                        <w:t>Con los acciones de participación ciudadana se le dio atención a los 14 departamentos con la frecuencia en cada uno tal como lo muestra la gráfica, en San Salvador se realizaron noventa y tres (93), en la Libertad treinta y siete (37) y en La Paz doce (12) siendo los de mayor atención recibida</w:t>
                      </w:r>
                      <w:r w:rsidR="00253128">
                        <w:t>. E</w:t>
                      </w:r>
                      <w:r>
                        <w:t>l Departamento de Chalatenango y Morazán con una acción realizada, corresponde</w:t>
                      </w:r>
                      <w:r w:rsidR="00253128">
                        <w:t>n</w:t>
                      </w:r>
                      <w:r>
                        <w:t xml:space="preserve"> a los menos atendidos.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FEE">
        <w:rPr>
          <w:noProof/>
          <w:lang w:eastAsia="es-SV"/>
        </w:rPr>
        <w:drawing>
          <wp:anchor distT="0" distB="0" distL="114300" distR="114300" simplePos="0" relativeHeight="251709440" behindDoc="0" locked="0" layoutInCell="1" allowOverlap="1" wp14:anchorId="3A2E43E2" wp14:editId="1BEF1922">
            <wp:simplePos x="0" y="0"/>
            <wp:positionH relativeFrom="column">
              <wp:posOffset>224790</wp:posOffset>
            </wp:positionH>
            <wp:positionV relativeFrom="paragraph">
              <wp:posOffset>283210</wp:posOffset>
            </wp:positionV>
            <wp:extent cx="5762625" cy="4200525"/>
            <wp:effectExtent l="0" t="0" r="9525" b="9525"/>
            <wp:wrapSquare wrapText="bothSides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40582" w:rsidRDefault="00940582">
      <w:r>
        <w:br w:type="page"/>
      </w:r>
    </w:p>
    <w:p w:rsidR="00A7642A" w:rsidRDefault="00A7642A" w:rsidP="00D21FFB">
      <w:pPr>
        <w:spacing w:after="0"/>
        <w:jc w:val="both"/>
      </w:pPr>
    </w:p>
    <w:p w:rsidR="009F2FEE" w:rsidRDefault="00D21FFB" w:rsidP="007D340A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713536" behindDoc="0" locked="0" layoutInCell="1" allowOverlap="1" wp14:anchorId="41A51680" wp14:editId="755D0895">
            <wp:simplePos x="0" y="0"/>
            <wp:positionH relativeFrom="column">
              <wp:posOffset>272415</wp:posOffset>
            </wp:positionH>
            <wp:positionV relativeFrom="paragraph">
              <wp:posOffset>1695450</wp:posOffset>
            </wp:positionV>
            <wp:extent cx="5581650" cy="4253865"/>
            <wp:effectExtent l="0" t="0" r="0" b="13335"/>
            <wp:wrapSquare wrapText="bothSides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42A">
        <w:t xml:space="preserve">Al respecto de la </w:t>
      </w:r>
      <w:r w:rsidR="00253128">
        <w:t>cobertura municipal se ha ejecutado gestión social en 53 municipios durante el primer trimestre de 2023, con una diferenciación de intervención social</w:t>
      </w:r>
      <w:r w:rsidR="00A7642A">
        <w:t xml:space="preserve"> así:</w:t>
      </w:r>
      <w:r w:rsidR="00940582">
        <w:t xml:space="preserve"> en 28 municipios solamente se realizó una ac</w:t>
      </w:r>
      <w:r w:rsidR="00A7642A">
        <w:t xml:space="preserve">tividad </w:t>
      </w:r>
      <w:r w:rsidR="00940582">
        <w:t>y en 25 municipios más de una</w:t>
      </w:r>
      <w:r w:rsidR="00A7642A">
        <w:t>,</w:t>
      </w:r>
      <w:r w:rsidR="00940582">
        <w:t xml:space="preserve"> esta situación </w:t>
      </w:r>
      <w:r w:rsidR="00A7642A">
        <w:t xml:space="preserve">obedece a </w:t>
      </w:r>
      <w:r w:rsidR="00940582">
        <w:t xml:space="preserve">varios factores, en este </w:t>
      </w:r>
      <w:r w:rsidR="00A7642A">
        <w:t xml:space="preserve">trimestre uno de los factores es </w:t>
      </w:r>
      <w:r w:rsidR="00253128">
        <w:t xml:space="preserve">la ejecución </w:t>
      </w:r>
      <w:r w:rsidR="00BE4B85">
        <w:t>de proyectos en el municipio</w:t>
      </w:r>
      <w:r w:rsidR="00940582">
        <w:t xml:space="preserve"> lo que demanda mayor número de visitas,</w:t>
      </w:r>
      <w:r w:rsidR="00BE4B85">
        <w:t xml:space="preserve"> por ejemplo </w:t>
      </w:r>
      <w:proofErr w:type="spellStart"/>
      <w:r w:rsidR="00BE4B85">
        <w:t>Chiltiupán</w:t>
      </w:r>
      <w:proofErr w:type="spellEnd"/>
      <w:r w:rsidR="00BE4B85">
        <w:t xml:space="preserve"> donde se está ejecutando el proyecto </w:t>
      </w:r>
      <w:proofErr w:type="spellStart"/>
      <w:r w:rsidR="00BE4B85">
        <w:t>Bitcoin</w:t>
      </w:r>
      <w:proofErr w:type="spellEnd"/>
      <w:r w:rsidR="00BE4B85">
        <w:t xml:space="preserve"> Beach en la zona de El Zonte, </w:t>
      </w:r>
      <w:r w:rsidR="00940582">
        <w:t>segundo po</w:t>
      </w:r>
      <w:r w:rsidR="00253128">
        <w:t xml:space="preserve">r </w:t>
      </w:r>
      <w:r w:rsidR="00940582">
        <w:t xml:space="preserve">las </w:t>
      </w:r>
      <w:r w:rsidR="00253128">
        <w:t xml:space="preserve">condiciones de vulnerabilidad física, tal es </w:t>
      </w:r>
      <w:r w:rsidR="00940582">
        <w:t xml:space="preserve">el </w:t>
      </w:r>
      <w:r w:rsidR="00253128">
        <w:t xml:space="preserve">caso </w:t>
      </w:r>
      <w:r w:rsidR="00940582">
        <w:t xml:space="preserve">para </w:t>
      </w:r>
      <w:r w:rsidR="00BE4B85">
        <w:t xml:space="preserve">los </w:t>
      </w:r>
      <w:r w:rsidR="00253128">
        <w:t>municipio</w:t>
      </w:r>
      <w:r w:rsidR="00BE4B85">
        <w:t>s</w:t>
      </w:r>
      <w:r w:rsidR="00253128">
        <w:t xml:space="preserve"> de </w:t>
      </w:r>
      <w:r w:rsidR="00BE4B85">
        <w:t>San Salvador, Ilopango y Soyapango, que se pueden apreciar en la gráfica siguiente con un mayor número de atenciones.</w:t>
      </w:r>
    </w:p>
    <w:p w:rsidR="00D21FFB" w:rsidRDefault="00D21FFB" w:rsidP="00BE4B85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3B60460" wp14:editId="18D295F8">
                <wp:simplePos x="0" y="0"/>
                <wp:positionH relativeFrom="column">
                  <wp:posOffset>467360</wp:posOffset>
                </wp:positionH>
                <wp:positionV relativeFrom="paragraph">
                  <wp:posOffset>4550410</wp:posOffset>
                </wp:positionV>
                <wp:extent cx="5390515" cy="1172210"/>
                <wp:effectExtent l="19050" t="19050" r="19685" b="279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FFB" w:rsidRDefault="00D21FFB" w:rsidP="00D21FFB">
                            <w:pPr>
                              <w:jc w:val="both"/>
                            </w:pPr>
                            <w:r>
                              <w:t xml:space="preserve">Los municipios atendidos con las acciones de participación ciudadana en más de una ocasión fueron </w:t>
                            </w:r>
                            <w:r w:rsidRPr="00B450F7">
                              <w:rPr>
                                <w:b/>
                              </w:rPr>
                              <w:t>(25)</w:t>
                            </w:r>
                            <w:r>
                              <w:t xml:space="preserve"> representados en la gráfica con una frecuencia descendente desde 37 acciones realizadas en el municipio de San Salvador, hasta 2 acciones realizadas en el municipio de Santa Ana. En segundo lugar de atención está el municipio de Ilopango con 25 acciones y le sigue Soyapango con 14, seguido de </w:t>
                            </w:r>
                            <w:proofErr w:type="spellStart"/>
                            <w:r>
                              <w:t>Chiltiupán</w:t>
                            </w:r>
                            <w:proofErr w:type="spellEnd"/>
                            <w:r>
                              <w:t xml:space="preserve"> con 12.</w:t>
                            </w:r>
                          </w:p>
                          <w:p w:rsidR="00D21FFB" w:rsidRDefault="00D21FFB" w:rsidP="00D21FFB">
                            <w:pPr>
                              <w:jc w:val="both"/>
                            </w:pPr>
                          </w:p>
                          <w:p w:rsidR="00D21FFB" w:rsidRDefault="00D21FFB" w:rsidP="00D21FFB">
                            <w:pPr>
                              <w:jc w:val="both"/>
                            </w:pPr>
                            <w:proofErr w:type="gramStart"/>
                            <w:r>
                              <w:t>se</w:t>
                            </w:r>
                            <w:proofErr w:type="gramEnd"/>
                            <w:r>
                              <w:t xml:space="preserve"> le dio atención a los 14 departamentos con la frecuencia en cada uno tal como lo muestra la gráfica, en San Salvador se realizaron noventa y tres (93), en la Libertad treinta y siete (37) y en La Paz doce (12) siendo los de mayor atención recibida y el Departamento de Chalatenango y Morazán con una acción realizada, corresponde a los menos atendidos.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0460" id="_x0000_s1027" type="#_x0000_t202" style="position:absolute;left:0;text-align:left;margin-left:36.8pt;margin-top:358.3pt;width:424.45pt;height:92.3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" strokecolor="#9dc3e6" strokeweight="2.25pt">
                <v:textbox>
                  <w:txbxContent>
                    <w:p w:rsidR="00D21FFB" w:rsidRDefault="00D21FFB" w:rsidP="00D21FFB">
                      <w:pPr>
                        <w:jc w:val="both"/>
                      </w:pPr>
                      <w:r>
                        <w:t xml:space="preserve">Los municipios atendidos con las acciones de participación ciudadana en más de una ocasión fueron </w:t>
                      </w:r>
                      <w:r w:rsidRPr="00B450F7">
                        <w:rPr>
                          <w:b/>
                        </w:rPr>
                        <w:t>(25)</w:t>
                      </w:r>
                      <w:r>
                        <w:t xml:space="preserve"> representados en la gráfica con una frecuencia descendente desde 37 acciones realizadas en el municipio de San Salvador, hasta 2 acciones realizadas en el municipio de Santa Ana. En segundo lugar de atención está el municipio de Ilopango con 25 acciones y le sigue Soyapango con 14, seguido de </w:t>
                      </w:r>
                      <w:proofErr w:type="spellStart"/>
                      <w:r>
                        <w:t>Chiltiupán</w:t>
                      </w:r>
                      <w:proofErr w:type="spellEnd"/>
                      <w:r>
                        <w:t xml:space="preserve"> con 12</w:t>
                      </w:r>
                      <w:r>
                        <w:t>.</w:t>
                      </w:r>
                    </w:p>
                    <w:p w:rsidR="00D21FFB" w:rsidRDefault="00D21FFB" w:rsidP="00D21FFB">
                      <w:pPr>
                        <w:jc w:val="both"/>
                      </w:pPr>
                    </w:p>
                    <w:p w:rsidR="00D21FFB" w:rsidRDefault="00D21FFB" w:rsidP="00D21FFB">
                      <w:pPr>
                        <w:jc w:val="both"/>
                      </w:pPr>
                      <w:proofErr w:type="gramStart"/>
                      <w:r>
                        <w:t>se</w:t>
                      </w:r>
                      <w:proofErr w:type="gramEnd"/>
                      <w:r>
                        <w:t xml:space="preserve"> le dio atención a los 14 departamentos con la frecuencia en cada uno tal como lo muestra la gráfica, en San Salvador se realizaron noventa y tres (93), en la Libertad treinta y siete (37) y en La Paz doce (12) siendo los de mayor atención recibida y el Departamento de Chalatenango y Morazán con una acción realizada, corresponde a los menos atendidos.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1FFB" w:rsidRDefault="00D21FFB" w:rsidP="00BE4B85">
      <w:pPr>
        <w:jc w:val="both"/>
      </w:pPr>
    </w:p>
    <w:p w:rsidR="00D21FFB" w:rsidRDefault="00D21FFB" w:rsidP="00BE4B85">
      <w:pPr>
        <w:jc w:val="both"/>
      </w:pPr>
    </w:p>
    <w:p w:rsidR="00D21FFB" w:rsidRDefault="00D21FFB" w:rsidP="00BE4B85">
      <w:pPr>
        <w:jc w:val="both"/>
      </w:pPr>
    </w:p>
    <w:p w:rsidR="00BE4B85" w:rsidRDefault="00BE4B85" w:rsidP="00BE4B85">
      <w:pPr>
        <w:jc w:val="both"/>
      </w:pPr>
    </w:p>
    <w:p w:rsidR="00BE4B85" w:rsidRDefault="00BE4B85">
      <w:r>
        <w:br w:type="page"/>
      </w:r>
    </w:p>
    <w:p w:rsidR="009F2FEE" w:rsidRDefault="009F2FEE" w:rsidP="007D340A">
      <w:pPr>
        <w:jc w:val="both"/>
      </w:pPr>
    </w:p>
    <w:p w:rsidR="009F2FEE" w:rsidRDefault="00653479" w:rsidP="007D340A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717632" behindDoc="0" locked="0" layoutInCell="1" allowOverlap="1" wp14:anchorId="6B735482" wp14:editId="427DDD1D">
            <wp:simplePos x="0" y="0"/>
            <wp:positionH relativeFrom="column">
              <wp:posOffset>320040</wp:posOffset>
            </wp:positionH>
            <wp:positionV relativeFrom="paragraph">
              <wp:posOffset>340360</wp:posOffset>
            </wp:positionV>
            <wp:extent cx="5424805" cy="4893310"/>
            <wp:effectExtent l="0" t="0" r="4445" b="2540"/>
            <wp:wrapSquare wrapText="bothSides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FEE" w:rsidRDefault="00653479" w:rsidP="007D340A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8B7D5C" wp14:editId="27551E3F">
                <wp:simplePos x="0" y="0"/>
                <wp:positionH relativeFrom="column">
                  <wp:posOffset>405765</wp:posOffset>
                </wp:positionH>
                <wp:positionV relativeFrom="paragraph">
                  <wp:posOffset>5169535</wp:posOffset>
                </wp:positionV>
                <wp:extent cx="5229225" cy="514350"/>
                <wp:effectExtent l="19050" t="19050" r="28575" b="1905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128" w:rsidRPr="00653479" w:rsidRDefault="00D21FFB" w:rsidP="00BE4B85">
                            <w:pPr>
                              <w:jc w:val="both"/>
                            </w:pPr>
                            <w:r>
                              <w:t xml:space="preserve">La </w:t>
                            </w:r>
                            <w:r w:rsidR="00253128">
                              <w:t>gráfica de pastel</w:t>
                            </w:r>
                            <w:r>
                              <w:t xml:space="preserve"> </w:t>
                            </w:r>
                            <w:r w:rsidR="00253128">
                              <w:t>representa</w:t>
                            </w:r>
                            <w:r>
                              <w:t xml:space="preserve"> </w:t>
                            </w:r>
                            <w:r w:rsidR="00253128">
                              <w:t>el número de municipios en los que solamente se realizó una acción durante este primer trimestre de 2023</w:t>
                            </w:r>
                            <w:r>
                              <w:t>. En total son 28 municipios</w:t>
                            </w:r>
                            <w:r w:rsidRPr="0065347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7D5C" id="_x0000_s1028" type="#_x0000_t202" style="position:absolute;left:0;text-align:left;margin-left:31.95pt;margin-top:407.05pt;width:411.75pt;height:40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" strokecolor="#9dc3e6" strokeweight="2.25pt">
                <v:textbox>
                  <w:txbxContent>
                    <w:p w:rsidR="00253128" w:rsidRPr="00653479" w:rsidRDefault="00D21FFB" w:rsidP="00BE4B85">
                      <w:pPr>
                        <w:jc w:val="both"/>
                      </w:pPr>
                      <w:r>
                        <w:t xml:space="preserve">La </w:t>
                      </w:r>
                      <w:r w:rsidR="00253128">
                        <w:t>gráfica de pastel</w:t>
                      </w:r>
                      <w:r>
                        <w:t xml:space="preserve"> </w:t>
                      </w:r>
                      <w:r w:rsidR="00253128">
                        <w:t>representa</w:t>
                      </w:r>
                      <w:r>
                        <w:t xml:space="preserve"> </w:t>
                      </w:r>
                      <w:r w:rsidR="00253128">
                        <w:t>el número de municipios en los que solamente se realizó una acción durante este primer trimestre de 2023</w:t>
                      </w:r>
                      <w:r>
                        <w:t>. En total son 28 municipios</w:t>
                      </w:r>
                      <w:r w:rsidRPr="00653479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4B85" w:rsidRDefault="00BE4B85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9F2FEE" w:rsidRDefault="009F2FEE" w:rsidP="007D340A">
      <w:pPr>
        <w:jc w:val="both"/>
      </w:pPr>
    </w:p>
    <w:p w:rsidR="00BE4B85" w:rsidRDefault="00BE4B85">
      <w:r>
        <w:br w:type="page"/>
      </w:r>
    </w:p>
    <w:p w:rsidR="009F2FEE" w:rsidRDefault="009F2FEE" w:rsidP="007D340A">
      <w:pPr>
        <w:jc w:val="both"/>
      </w:pPr>
    </w:p>
    <w:p w:rsidR="00653479" w:rsidRDefault="00653479" w:rsidP="007D340A">
      <w:pPr>
        <w:jc w:val="both"/>
      </w:pPr>
      <w:r>
        <w:t xml:space="preserve">Una de las funciones de la Gerencia de Gestión Social es impulsar la participación ciudadana por medio de espacios y mecanismos definidos, en este </w:t>
      </w:r>
      <w:r w:rsidRPr="00653479">
        <w:t>primer trimestre del año 2023</w:t>
      </w:r>
      <w:r>
        <w:t xml:space="preserve"> la ejecución de éstos </w:t>
      </w:r>
      <w:r w:rsidR="00585E4C" w:rsidRPr="00653479">
        <w:t>implicó el contacto con</w:t>
      </w:r>
      <w:r w:rsidRPr="00653479">
        <w:t xml:space="preserve"> </w:t>
      </w:r>
      <w:r>
        <w:t xml:space="preserve">aproximadamente </w:t>
      </w:r>
      <w:r w:rsidR="00585E4C">
        <w:t>2,560 personas de manera indirecta, y con 834 personas de forma directa (446 hombres y 388 mujeres)</w:t>
      </w:r>
      <w:r>
        <w:t>.</w:t>
      </w:r>
    </w:p>
    <w:p w:rsidR="00585E4C" w:rsidRDefault="006B7091" w:rsidP="007D340A">
      <w:pPr>
        <w:jc w:val="both"/>
      </w:pPr>
      <w:r>
        <w:t xml:space="preserve">Se desarrollaron </w:t>
      </w:r>
      <w:r w:rsidR="00585E4C">
        <w:t>un total de 187 acciones con participación ciudadana en alguna o en todas las etapas de la gestión de la obra pública según se requiera.</w:t>
      </w:r>
      <w:r w:rsidR="00653479">
        <w:t xml:space="preserve"> </w:t>
      </w:r>
    </w:p>
    <w:p w:rsidR="00585E4C" w:rsidRDefault="006B7091" w:rsidP="007D340A">
      <w:pPr>
        <w:jc w:val="both"/>
      </w:pPr>
      <w:r>
        <w:rPr>
          <w:noProof/>
          <w:lang w:eastAsia="es-SV"/>
        </w:rPr>
        <w:drawing>
          <wp:inline distT="0" distB="0" distL="0" distR="0" wp14:anchorId="7F609AE1" wp14:editId="38229496">
            <wp:extent cx="5612130" cy="3105150"/>
            <wp:effectExtent l="0" t="0" r="762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03F1" w:rsidRDefault="006B7091" w:rsidP="00ED4EA5">
      <w:pPr>
        <w:jc w:val="both"/>
      </w:pPr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270510</wp:posOffset>
                </wp:positionV>
                <wp:extent cx="5334000" cy="1152525"/>
                <wp:effectExtent l="19050" t="1905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EA5" w:rsidRDefault="007D340A" w:rsidP="00365BC1">
                            <w:pPr>
                              <w:jc w:val="both"/>
                            </w:pPr>
                            <w:r>
                              <w:t>La gráfica muestra el total de espacios y mecanismos desarrollados mensualmente, durante e</w:t>
                            </w:r>
                            <w:r w:rsidR="00596F83">
                              <w:t>l primer trimestre de 202</w:t>
                            </w:r>
                            <w:r w:rsidR="00985AC2">
                              <w:t>3</w:t>
                            </w:r>
                            <w:r w:rsidR="00596F83">
                              <w:t>.</w:t>
                            </w:r>
                            <w:r w:rsidR="00365BC1">
                              <w:t xml:space="preserve"> Este dato no incluye </w:t>
                            </w:r>
                            <w:r w:rsidR="002B308A">
                              <w:t xml:space="preserve">el espacio </w:t>
                            </w:r>
                            <w:r w:rsidR="00985AC2">
                              <w:t>de “Teléfono Abierto”</w:t>
                            </w:r>
                            <w:r w:rsidR="00426348">
                              <w:t xml:space="preserve">, ni </w:t>
                            </w:r>
                            <w:r w:rsidR="002B308A">
                              <w:t xml:space="preserve">la gestión social realizada en </w:t>
                            </w:r>
                            <w:r w:rsidR="00426348">
                              <w:t>proyectos de nación como el Aeropuerto del Pacífico, Tren del Pac</w:t>
                            </w:r>
                            <w:r w:rsidR="002B308A">
                              <w:t>í</w:t>
                            </w:r>
                            <w:r w:rsidR="00426348">
                              <w:t>fico</w:t>
                            </w:r>
                            <w:r w:rsidR="002B308A">
                              <w:t>, que por su dimensión tienen personal social directo que generan informes específicos.</w:t>
                            </w:r>
                          </w:p>
                          <w:p w:rsidR="00ED4EA5" w:rsidRDefault="00ED4EA5" w:rsidP="00365B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.45pt;margin-top:21.3pt;width:420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" strokecolor="#2e74b5 [2404]" strokeweight="2.25pt">
                <v:textbox>
                  <w:txbxContent>
                    <w:p w:rsidR="00ED4EA5" w:rsidRDefault="007D340A" w:rsidP="00365BC1">
                      <w:pPr>
                        <w:jc w:val="both"/>
                      </w:pPr>
                      <w:r>
                        <w:t>La gráfica muestra el total de espacios y mecanismos desarrollados mensualmente, durante e</w:t>
                      </w:r>
                      <w:r w:rsidR="00596F83">
                        <w:t>l primer trimestre de 202</w:t>
                      </w:r>
                      <w:r w:rsidR="00985AC2">
                        <w:t>3</w:t>
                      </w:r>
                      <w:r w:rsidR="00596F83">
                        <w:t>.</w:t>
                      </w:r>
                      <w:r w:rsidR="00365BC1">
                        <w:t xml:space="preserve"> Este dato no incluye </w:t>
                      </w:r>
                      <w:r w:rsidR="002B308A">
                        <w:t xml:space="preserve">el espacio </w:t>
                      </w:r>
                      <w:r w:rsidR="00985AC2">
                        <w:t>de “Teléfono Abierto”</w:t>
                      </w:r>
                      <w:r w:rsidR="00426348">
                        <w:t xml:space="preserve">, ni </w:t>
                      </w:r>
                      <w:r w:rsidR="002B308A">
                        <w:t xml:space="preserve">la gestión social realizada en </w:t>
                      </w:r>
                      <w:r w:rsidR="00426348">
                        <w:t>proyectos de nación como el Aeropuerto del Pacífico, Tren del Pac</w:t>
                      </w:r>
                      <w:r w:rsidR="002B308A">
                        <w:t>í</w:t>
                      </w:r>
                      <w:r w:rsidR="00426348">
                        <w:t>fico</w:t>
                      </w:r>
                      <w:r w:rsidR="002B308A">
                        <w:t>, que por su dimensión tienen personal social directo que generan informes específicos.</w:t>
                      </w:r>
                    </w:p>
                    <w:p w:rsidR="00ED4EA5" w:rsidRDefault="00ED4EA5" w:rsidP="00365BC1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6348" w:rsidRDefault="00426348"/>
    <w:p w:rsidR="00426348" w:rsidRDefault="00426348"/>
    <w:p w:rsidR="002B308A" w:rsidRDefault="002B308A">
      <w:r>
        <w:br w:type="page"/>
      </w:r>
    </w:p>
    <w:p w:rsidR="00337534" w:rsidRDefault="00337534" w:rsidP="00337534">
      <w:pPr>
        <w:spacing w:after="0" w:line="240" w:lineRule="auto"/>
      </w:pPr>
    </w:p>
    <w:p w:rsidR="00CF6AB4" w:rsidRDefault="00CF6AB4" w:rsidP="00CF6AB4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1130300</wp:posOffset>
            </wp:positionV>
            <wp:extent cx="5598160" cy="4676775"/>
            <wp:effectExtent l="0" t="0" r="2540" b="9525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6B7091">
        <w:t xml:space="preserve">En la gráfica siguiente se presentan los tipos de espacios y mecanismos de participación ciudadana desarrollados en el período </w:t>
      </w:r>
      <w:r w:rsidR="00337534">
        <w:t>de éste informe, exceptuando el espacio de “Teléfono Abierto”) que se presentará en gráfica individual.</w:t>
      </w:r>
      <w:r w:rsidRPr="00CF6AB4">
        <w:t xml:space="preserve"> </w:t>
      </w:r>
      <w:r>
        <w:t xml:space="preserve">En el trimestre se dio apoyo para realizar </w:t>
      </w:r>
      <w:r w:rsidRPr="002B308A">
        <w:rPr>
          <w:b/>
        </w:rPr>
        <w:t>“Consultas Públicas Ciudadanas”</w:t>
      </w:r>
      <w:r>
        <w:t xml:space="preserve"> en articulación con otras instituciones en los temas de: Tren Aéreo, Construcción de Centro Urbano de Bienestar y Oportunidades (CUBO).</w:t>
      </w:r>
    </w:p>
    <w:p w:rsidR="00426348" w:rsidRDefault="00CF6AB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7000FE" wp14:editId="43E30097">
                <wp:simplePos x="0" y="0"/>
                <wp:positionH relativeFrom="column">
                  <wp:posOffset>205740</wp:posOffset>
                </wp:positionH>
                <wp:positionV relativeFrom="paragraph">
                  <wp:posOffset>5281295</wp:posOffset>
                </wp:positionV>
                <wp:extent cx="5591175" cy="962025"/>
                <wp:effectExtent l="19050" t="19050" r="28575" b="2857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B4" w:rsidRDefault="00EB12E4" w:rsidP="00CF6AB4">
                            <w:pPr>
                              <w:jc w:val="both"/>
                            </w:pPr>
                            <w:r>
                              <w:t>La gráfica muestr</w:t>
                            </w:r>
                            <w:r w:rsidR="00A66D3C">
                              <w:t>a todas las acciones realizadas con participación ciudadana d</w:t>
                            </w:r>
                            <w:r>
                              <w:t>urante el primer trimestre de 202</w:t>
                            </w:r>
                            <w:r w:rsidR="00A66D3C">
                              <w:t>3</w:t>
                            </w:r>
                            <w:r w:rsidR="002B308A">
                              <w:t xml:space="preserve"> obteniéndose </w:t>
                            </w:r>
                            <w:r w:rsidR="00A66D3C">
                              <w:t xml:space="preserve">con mayor frecuencia </w:t>
                            </w:r>
                            <w:r w:rsidR="00A66D3C" w:rsidRPr="00A66D3C">
                              <w:rPr>
                                <w:b/>
                              </w:rPr>
                              <w:t>“La Atención en la Oficina”</w:t>
                            </w:r>
                            <w:r w:rsidR="00A66D3C">
                              <w:t xml:space="preserve"> como espacio de participación con 49</w:t>
                            </w:r>
                            <w:r w:rsidR="002B308A">
                              <w:t xml:space="preserve"> </w:t>
                            </w:r>
                            <w:r w:rsidR="00A66D3C">
                              <w:t xml:space="preserve"> visitas en las cuales se atendió y orientó a la ciudadanía</w:t>
                            </w:r>
                            <w:r w:rsidR="00A66D3C">
                              <w:rPr>
                                <w:b/>
                              </w:rPr>
                              <w:t xml:space="preserve">, </w:t>
                            </w:r>
                            <w:r w:rsidR="00A66D3C">
                              <w:t xml:space="preserve">le sigue las </w:t>
                            </w:r>
                            <w:r w:rsidR="002B308A" w:rsidRPr="002B308A">
                              <w:rPr>
                                <w:b/>
                              </w:rPr>
                              <w:t>“I</w:t>
                            </w:r>
                            <w:r w:rsidR="00A66D3C" w:rsidRPr="002B308A">
                              <w:rPr>
                                <w:b/>
                              </w:rPr>
                              <w:t xml:space="preserve">nspecciones </w:t>
                            </w:r>
                            <w:r w:rsidR="002B308A" w:rsidRPr="002B308A">
                              <w:rPr>
                                <w:b/>
                              </w:rPr>
                              <w:t>Sociales”</w:t>
                            </w:r>
                            <w:r w:rsidR="002B308A">
                              <w:t xml:space="preserve"> </w:t>
                            </w:r>
                            <w:r w:rsidR="00A66D3C">
                              <w:t>en el territorio con una frecuencia de 42</w:t>
                            </w:r>
                            <w:r w:rsidR="00E10CA2">
                              <w:t>.</w:t>
                            </w:r>
                          </w:p>
                          <w:p w:rsidR="00CF6AB4" w:rsidRDefault="00CF6AB4" w:rsidP="00CF6AB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000FE" id="_x0000_s1030" type="#_x0000_t202" style="position:absolute;margin-left:16.2pt;margin-top:415.85pt;width:440.25pt;height:7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" strokecolor="#2e74b5 [2404]" strokeweight="2.25pt">
                <v:textbox>
                  <w:txbxContent>
                    <w:p w:rsidR="00CF6AB4" w:rsidRDefault="00EB12E4" w:rsidP="00CF6AB4">
                      <w:pPr>
                        <w:jc w:val="both"/>
                      </w:pPr>
                      <w:r>
                        <w:t>La gráfica muestr</w:t>
                      </w:r>
                      <w:r w:rsidR="00A66D3C">
                        <w:t>a todas las acciones realizadas con participación ciudadana d</w:t>
                      </w:r>
                      <w:r>
                        <w:t>urante el primer trimestre de 202</w:t>
                      </w:r>
                      <w:r w:rsidR="00A66D3C">
                        <w:t>3</w:t>
                      </w:r>
                      <w:r w:rsidR="002B308A">
                        <w:t xml:space="preserve"> obteniéndose </w:t>
                      </w:r>
                      <w:r w:rsidR="00A66D3C">
                        <w:t xml:space="preserve">con mayor frecuencia </w:t>
                      </w:r>
                      <w:r w:rsidR="00A66D3C" w:rsidRPr="00A66D3C">
                        <w:rPr>
                          <w:b/>
                        </w:rPr>
                        <w:t>“La Atención en la Oficina”</w:t>
                      </w:r>
                      <w:r w:rsidR="00A66D3C">
                        <w:t xml:space="preserve"> como espacio de participación con 49</w:t>
                      </w:r>
                      <w:r w:rsidR="002B308A">
                        <w:t xml:space="preserve"> </w:t>
                      </w:r>
                      <w:r w:rsidR="00A66D3C">
                        <w:t xml:space="preserve"> visitas en las cuales se atendió y orientó a la ciudadanía</w:t>
                      </w:r>
                      <w:r w:rsidR="00A66D3C">
                        <w:rPr>
                          <w:b/>
                        </w:rPr>
                        <w:t xml:space="preserve">, </w:t>
                      </w:r>
                      <w:r w:rsidR="00A66D3C">
                        <w:t xml:space="preserve">le sigue las </w:t>
                      </w:r>
                      <w:r w:rsidR="002B308A" w:rsidRPr="002B308A">
                        <w:rPr>
                          <w:b/>
                        </w:rPr>
                        <w:t>“I</w:t>
                      </w:r>
                      <w:r w:rsidR="00A66D3C" w:rsidRPr="002B308A">
                        <w:rPr>
                          <w:b/>
                        </w:rPr>
                        <w:t xml:space="preserve">nspecciones </w:t>
                      </w:r>
                      <w:r w:rsidR="002B308A" w:rsidRPr="002B308A">
                        <w:rPr>
                          <w:b/>
                        </w:rPr>
                        <w:t>Sociales”</w:t>
                      </w:r>
                      <w:r w:rsidR="002B308A">
                        <w:t xml:space="preserve"> </w:t>
                      </w:r>
                      <w:r w:rsidR="00A66D3C">
                        <w:t>en el territorio con una frecuencia de 42</w:t>
                      </w:r>
                      <w:r w:rsidR="00E10CA2">
                        <w:t>.</w:t>
                      </w:r>
                    </w:p>
                    <w:p w:rsidR="00CF6AB4" w:rsidRDefault="00CF6AB4" w:rsidP="00CF6AB4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3CAD" w:rsidRDefault="00B23CAD">
      <w:r>
        <w:br w:type="page"/>
      </w:r>
    </w:p>
    <w:p w:rsidR="006474C1" w:rsidRDefault="006474C1"/>
    <w:p w:rsidR="00AF67C8" w:rsidRDefault="00CF6AB4">
      <w:r>
        <w:rPr>
          <w:noProof/>
          <w:lang w:eastAsia="es-SV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271780</wp:posOffset>
            </wp:positionV>
            <wp:extent cx="5419725" cy="4186555"/>
            <wp:effectExtent l="0" t="0" r="9525" b="4445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67C8" w:rsidRDefault="00AF67C8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F56B9E" w:rsidRDefault="00F56B9E"/>
    <w:p w:rsidR="00F56B9E" w:rsidRDefault="00F56B9E"/>
    <w:p w:rsidR="00F56B9E" w:rsidRDefault="005451D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3479F3A" wp14:editId="5DB446A4">
                <wp:simplePos x="0" y="0"/>
                <wp:positionH relativeFrom="column">
                  <wp:posOffset>558800</wp:posOffset>
                </wp:positionH>
                <wp:positionV relativeFrom="paragraph">
                  <wp:posOffset>31115</wp:posOffset>
                </wp:positionV>
                <wp:extent cx="5238750" cy="1251585"/>
                <wp:effectExtent l="19050" t="19050" r="19050" b="2476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AFB" w:rsidRDefault="00F56B9E" w:rsidP="00CE2AFB">
                            <w:pPr>
                              <w:jc w:val="both"/>
                            </w:pPr>
                            <w:r>
                              <w:t xml:space="preserve">En la gráfica </w:t>
                            </w:r>
                            <w:r w:rsidR="00E13293">
                              <w:t>se presenta la frecuencia de las atenciones – orientaciones que se les ha dado a las personas cuando visitan la Gerencia de Gestión Social al respecto de la obra pública que estén solicitando; observándose como mes a mes fueron aumentándose las visitas ciudadanas desde 6, 15 y 28 de enero a marzo</w:t>
                            </w:r>
                            <w:r w:rsidR="00DE1550">
                              <w:t xml:space="preserve"> </w:t>
                            </w:r>
                            <w:r w:rsidR="00E13293">
                              <w:t>respectivamente.</w:t>
                            </w:r>
                            <w:r w:rsidR="00CE2AFB">
                              <w:t xml:space="preserve"> En el acumulado trimestral se tienen 49 </w:t>
                            </w:r>
                            <w:r w:rsidR="009B1E3B" w:rsidRPr="009B1E3B">
                              <w:rPr>
                                <w:b/>
                              </w:rPr>
                              <w:t>“Atenciones en Oficina”</w:t>
                            </w:r>
                            <w:r w:rsidR="009B1E3B">
                              <w:t xml:space="preserve">, </w:t>
                            </w:r>
                            <w:r w:rsidR="00CE2AFB">
                              <w:t xml:space="preserve">representando el </w:t>
                            </w:r>
                            <w:r w:rsidR="00CE2AFB" w:rsidRPr="00CE2AFB">
                              <w:rPr>
                                <w:b/>
                              </w:rPr>
                              <w:t>primer</w:t>
                            </w:r>
                            <w:r w:rsidR="00CE2AFB">
                              <w:t xml:space="preserve"> espacio de participación ciudadana más ejecutado en el 1er. trimestre de 2023.</w:t>
                            </w:r>
                          </w:p>
                          <w:p w:rsidR="00E13293" w:rsidRDefault="00E13293" w:rsidP="00F56B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9F3A" id="_x0000_s1031" type="#_x0000_t202" style="position:absolute;margin-left:44pt;margin-top:2.45pt;width:412.5pt;height:98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" strokecolor="#9dc3e6" strokeweight="2.25pt">
                <v:textbox>
                  <w:txbxContent>
                    <w:p w:rsidR="00CE2AFB" w:rsidRDefault="00F56B9E" w:rsidP="00CE2AFB">
                      <w:pPr>
                        <w:jc w:val="both"/>
                      </w:pPr>
                      <w:r>
                        <w:t xml:space="preserve">En la gráfica </w:t>
                      </w:r>
                      <w:r w:rsidR="00E13293">
                        <w:t>se presenta la frecuencia de las atenciones – orientaciones que se les ha dado a las personas cuando visitan la Gerencia de Gestión Social al respecto de la obra pública que estén solicitando; observándose como mes a mes fueron aumentándose las visitas ciudadanas desde 6, 15 y 28 de enero a marzo</w:t>
                      </w:r>
                      <w:r w:rsidR="00DE1550">
                        <w:t xml:space="preserve"> </w:t>
                      </w:r>
                      <w:r w:rsidR="00E13293">
                        <w:t>respectivamente.</w:t>
                      </w:r>
                      <w:r w:rsidR="00CE2AFB">
                        <w:t xml:space="preserve"> En el acumulado trimestral se tienen 49 </w:t>
                      </w:r>
                      <w:r w:rsidR="009B1E3B" w:rsidRPr="009B1E3B">
                        <w:rPr>
                          <w:b/>
                        </w:rPr>
                        <w:t>“Atenciones en Oficina”</w:t>
                      </w:r>
                      <w:r w:rsidR="009B1E3B">
                        <w:t xml:space="preserve">, </w:t>
                      </w:r>
                      <w:r w:rsidR="00CE2AFB">
                        <w:t xml:space="preserve">representando el </w:t>
                      </w:r>
                      <w:r w:rsidR="00CE2AFB" w:rsidRPr="00CE2AFB">
                        <w:rPr>
                          <w:b/>
                        </w:rPr>
                        <w:t>primer</w:t>
                      </w:r>
                      <w:r w:rsidR="00CE2AFB">
                        <w:t xml:space="preserve"> espacio de participación ciudadana más ejecutado en el 1er. trimestre de 2023.</w:t>
                      </w:r>
                    </w:p>
                    <w:p w:rsidR="00E13293" w:rsidRDefault="00E13293" w:rsidP="00F56B9E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6B9E" w:rsidRDefault="00F56B9E"/>
    <w:p w:rsidR="00F56B9E" w:rsidRDefault="00F56B9E"/>
    <w:p w:rsidR="005451D4" w:rsidRDefault="005451D4"/>
    <w:p w:rsidR="005451D4" w:rsidRDefault="005451D4"/>
    <w:p w:rsidR="00F56B9E" w:rsidRDefault="00F56B9E">
      <w:r>
        <w:br w:type="page"/>
      </w:r>
    </w:p>
    <w:p w:rsidR="00C64056" w:rsidRDefault="00C64056"/>
    <w:p w:rsidR="00C64056" w:rsidRDefault="00DE1550">
      <w:r>
        <w:rPr>
          <w:noProof/>
          <w:lang w:eastAsia="es-SV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216535</wp:posOffset>
            </wp:positionV>
            <wp:extent cx="5667375" cy="4371975"/>
            <wp:effectExtent l="0" t="0" r="9525" b="9525"/>
            <wp:wrapSquare wrapText="bothSides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C64056" w:rsidRDefault="00C64056"/>
    <w:p w:rsidR="00DE1550" w:rsidRDefault="00DE1550"/>
    <w:p w:rsidR="00CF6AB4" w:rsidRDefault="00CF6AB4"/>
    <w:p w:rsidR="00DE1550" w:rsidRDefault="005451D4">
      <w:r>
        <w:rPr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252B1A1" wp14:editId="79754A8C">
                <wp:simplePos x="0" y="0"/>
                <wp:positionH relativeFrom="column">
                  <wp:posOffset>415290</wp:posOffset>
                </wp:positionH>
                <wp:positionV relativeFrom="paragraph">
                  <wp:posOffset>18415</wp:posOffset>
                </wp:positionV>
                <wp:extent cx="5562600" cy="1221740"/>
                <wp:effectExtent l="19050" t="19050" r="19050" b="1651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E3B" w:rsidRDefault="00DE1550" w:rsidP="00DE1550">
                            <w:pPr>
                              <w:jc w:val="both"/>
                            </w:pPr>
                            <w:r>
                              <w:t xml:space="preserve">La gráfica muestra el número de </w:t>
                            </w:r>
                            <w:r w:rsidR="009B1E3B" w:rsidRPr="009B1E3B">
                              <w:rPr>
                                <w:b/>
                              </w:rPr>
                              <w:t>“I</w:t>
                            </w:r>
                            <w:r w:rsidRPr="009B1E3B">
                              <w:rPr>
                                <w:b/>
                              </w:rPr>
                              <w:t xml:space="preserve">nspecciones </w:t>
                            </w:r>
                            <w:r w:rsidR="009B1E3B" w:rsidRPr="009B1E3B">
                              <w:rPr>
                                <w:b/>
                              </w:rPr>
                              <w:t>S</w:t>
                            </w:r>
                            <w:r w:rsidRPr="009B1E3B">
                              <w:rPr>
                                <w:b/>
                              </w:rPr>
                              <w:t>ociales</w:t>
                            </w:r>
                            <w:r w:rsidR="009B1E3B" w:rsidRPr="009B1E3B">
                              <w:rPr>
                                <w:b/>
                              </w:rPr>
                              <w:t>”</w:t>
                            </w:r>
                            <w:r>
                              <w:t xml:space="preserve"> que se realizaron durante el trimestre</w:t>
                            </w:r>
                            <w:r w:rsidR="00CE2AFB">
                              <w:t xml:space="preserve">, </w:t>
                            </w:r>
                            <w:r>
                              <w:t xml:space="preserve">en promedio mensual son 14, </w:t>
                            </w:r>
                            <w:r w:rsidR="00CE2AFB">
                              <w:t>en el mes de marzo el número de inspecciones fue de 16</w:t>
                            </w:r>
                            <w:r w:rsidR="009B1E3B">
                              <w:t xml:space="preserve"> siendo </w:t>
                            </w:r>
                            <w:r w:rsidR="00CE2AFB">
                              <w:t xml:space="preserve">la frecuencia mayor. </w:t>
                            </w:r>
                          </w:p>
                          <w:p w:rsidR="00DE1550" w:rsidRDefault="00CE2AFB" w:rsidP="00DE1550">
                            <w:pPr>
                              <w:jc w:val="both"/>
                            </w:pPr>
                            <w:r>
                              <w:t xml:space="preserve">En el acumulado trimestral se tienen 42 </w:t>
                            </w:r>
                            <w:r w:rsidR="00E10CA2">
                              <w:t>I</w:t>
                            </w:r>
                            <w:r>
                              <w:t>nspecciones</w:t>
                            </w:r>
                            <w:r w:rsidR="00E10CA2">
                              <w:t xml:space="preserve"> Sociales</w:t>
                            </w:r>
                            <w:r>
                              <w:t xml:space="preserve">, representando el </w:t>
                            </w:r>
                            <w:r w:rsidRPr="00CE2AFB">
                              <w:rPr>
                                <w:b/>
                              </w:rPr>
                              <w:t>segundo</w:t>
                            </w:r>
                            <w:r>
                              <w:t xml:space="preserve"> espacio de participación ciudadana más ejecutado en el 1er. trimestre de 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2B1A1" id="_x0000_s1032" type="#_x0000_t202" style="position:absolute;margin-left:32.7pt;margin-top:1.45pt;width:438pt;height:96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" strokecolor="#9dc3e6" strokeweight="2.25pt">
                <v:textbox>
                  <w:txbxContent>
                    <w:p w:rsidR="009B1E3B" w:rsidRDefault="00DE1550" w:rsidP="00DE1550">
                      <w:pPr>
                        <w:jc w:val="both"/>
                      </w:pPr>
                      <w:r>
                        <w:t xml:space="preserve">La gráfica muestra el número de </w:t>
                      </w:r>
                      <w:r w:rsidR="009B1E3B" w:rsidRPr="009B1E3B">
                        <w:rPr>
                          <w:b/>
                        </w:rPr>
                        <w:t>“I</w:t>
                      </w:r>
                      <w:r w:rsidRPr="009B1E3B">
                        <w:rPr>
                          <w:b/>
                        </w:rPr>
                        <w:t xml:space="preserve">nspecciones </w:t>
                      </w:r>
                      <w:r w:rsidR="009B1E3B" w:rsidRPr="009B1E3B">
                        <w:rPr>
                          <w:b/>
                        </w:rPr>
                        <w:t>S</w:t>
                      </w:r>
                      <w:r w:rsidRPr="009B1E3B">
                        <w:rPr>
                          <w:b/>
                        </w:rPr>
                        <w:t>ociales</w:t>
                      </w:r>
                      <w:r w:rsidR="009B1E3B" w:rsidRPr="009B1E3B">
                        <w:rPr>
                          <w:b/>
                        </w:rPr>
                        <w:t>”</w:t>
                      </w:r>
                      <w:r>
                        <w:t xml:space="preserve"> que se realizaron durante el trimestre</w:t>
                      </w:r>
                      <w:r w:rsidR="00CE2AFB">
                        <w:t xml:space="preserve">, </w:t>
                      </w:r>
                      <w:r>
                        <w:t xml:space="preserve">en promedio mensual son 14, </w:t>
                      </w:r>
                      <w:r w:rsidR="00CE2AFB">
                        <w:t>en el mes de marzo el número de inspecciones fue de 16</w:t>
                      </w:r>
                      <w:r w:rsidR="009B1E3B">
                        <w:t xml:space="preserve"> siendo </w:t>
                      </w:r>
                      <w:r w:rsidR="00CE2AFB">
                        <w:t xml:space="preserve">la frecuencia mayor. </w:t>
                      </w:r>
                    </w:p>
                    <w:p w:rsidR="00DE1550" w:rsidRDefault="00CE2AFB" w:rsidP="00DE1550">
                      <w:pPr>
                        <w:jc w:val="both"/>
                      </w:pPr>
                      <w:r>
                        <w:t xml:space="preserve">En el acumulado trimestral se tienen 42 </w:t>
                      </w:r>
                      <w:r w:rsidR="00E10CA2">
                        <w:t>I</w:t>
                      </w:r>
                      <w:r>
                        <w:t>nspecciones</w:t>
                      </w:r>
                      <w:r w:rsidR="00E10CA2">
                        <w:t xml:space="preserve"> Sociales</w:t>
                      </w:r>
                      <w:r>
                        <w:t xml:space="preserve">, representando el </w:t>
                      </w:r>
                      <w:r w:rsidRPr="00CE2AFB">
                        <w:rPr>
                          <w:b/>
                        </w:rPr>
                        <w:t>segundo</w:t>
                      </w:r>
                      <w:r>
                        <w:t xml:space="preserve"> espacio de participación ciudadana más ejecutado en el 1er. trimestre de 2023.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1550" w:rsidRDefault="00DE1550"/>
    <w:p w:rsidR="00DE1550" w:rsidRDefault="00DE1550"/>
    <w:p w:rsidR="005451D4" w:rsidRDefault="005451D4"/>
    <w:p w:rsidR="005451D4" w:rsidRDefault="005451D4"/>
    <w:p w:rsidR="00DE1550" w:rsidRDefault="00DE1550">
      <w:r>
        <w:br w:type="page"/>
      </w:r>
    </w:p>
    <w:p w:rsidR="00CF6AB4" w:rsidRDefault="00CF6AB4" w:rsidP="0013238F">
      <w:pPr>
        <w:spacing w:after="0"/>
      </w:pPr>
    </w:p>
    <w:p w:rsidR="0013238F" w:rsidRDefault="00CF6AB4" w:rsidP="00CF6AB4">
      <w:pPr>
        <w:jc w:val="both"/>
      </w:pPr>
      <w:r>
        <w:t>En la gráfica siguiente podemos ver las llamadas recibidas en teléfono fijo de la oficina; a las que se les dio seguimiento por medio de grupos de WhatsApp para la gestión de una solución a la problemática que la ciudadanía presenta, ya sea actuando directamente o derivando el caso según competencia a otras instancias del Sistema de Protección Civil, alcaldías, DOM u otros Ministerios.</w:t>
      </w:r>
    </w:p>
    <w:p w:rsidR="00CF6AB4" w:rsidRDefault="0013238F" w:rsidP="00CF6AB4">
      <w:pPr>
        <w:jc w:val="both"/>
      </w:pPr>
      <w:r>
        <w:t>El grafico n</w:t>
      </w:r>
      <w:r w:rsidR="00CF6AB4">
        <w:t>o incluye las llamadas recibidas a las líneas celulares que se ponen a disposición de la ciudadanía para dar seguimiento al trabajo de gestión social en la obra pública; se estima que cada persona (gestor/a social) recibió diariamente en este trimestre un promedio de 6 llamadas de casos diferentes, que requieren de otras para darles el seguimiento respectivo.</w:t>
      </w:r>
    </w:p>
    <w:p w:rsidR="0013238F" w:rsidRDefault="00727283" w:rsidP="0013238F">
      <w:pPr>
        <w:jc w:val="both"/>
      </w:pPr>
      <w:r>
        <w:rPr>
          <w:noProof/>
          <w:lang w:eastAsia="es-SV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1005205</wp:posOffset>
            </wp:positionV>
            <wp:extent cx="5601335" cy="3314700"/>
            <wp:effectExtent l="0" t="0" r="18415" b="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38F">
        <w:t xml:space="preserve">Durante el primer trimestre del año </w:t>
      </w:r>
      <w:r w:rsidR="00CF6AB4">
        <w:t xml:space="preserve">atendieron </w:t>
      </w:r>
      <w:r w:rsidR="0013238F">
        <w:t>cuatro (</w:t>
      </w:r>
      <w:r w:rsidR="00CF6AB4">
        <w:t>4</w:t>
      </w:r>
      <w:r w:rsidR="0013238F">
        <w:t>)</w:t>
      </w:r>
      <w:r w:rsidR="00CF6AB4">
        <w:t xml:space="preserve"> gestoras sociales y </w:t>
      </w:r>
      <w:r w:rsidR="0013238F">
        <w:t>uno (</w:t>
      </w:r>
      <w:r w:rsidR="00CF6AB4">
        <w:t>1</w:t>
      </w:r>
      <w:r w:rsidR="0013238F">
        <w:t>)</w:t>
      </w:r>
      <w:r w:rsidR="00CF6AB4">
        <w:t xml:space="preserve"> gestor. Se suma a esto las gestiones y atenciones telefónicas realizadas por el Gerente y Coordinador de la Gerencia, que tienen </w:t>
      </w:r>
      <w:r w:rsidR="0013238F" w:rsidRPr="0013238F">
        <w:rPr>
          <w:b/>
        </w:rPr>
        <w:t>“teléfono abierto”</w:t>
      </w:r>
      <w:r w:rsidR="0013238F">
        <w:t xml:space="preserve"> también, éste espacio es el más utilizado por la ciudadanía ya que acorta distancia, tiempo, es una gestión más ágil. Razón por la cual no dudamos tenemos un sub-registro de todo lo realizado.</w:t>
      </w:r>
    </w:p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9B1E3B"/>
    <w:p w:rsidR="009B1E3B" w:rsidRDefault="00727283">
      <w:r w:rsidRPr="009B1E3B">
        <w:rPr>
          <w:rFonts w:ascii="Calibri" w:eastAsia="Times New Roman" w:hAnsi="Calibri" w:cs="Times New Roman"/>
          <w:noProof/>
          <w:lang w:eastAsia="es-SV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9FAF413" wp14:editId="2B726A39">
                <wp:simplePos x="0" y="0"/>
                <wp:positionH relativeFrom="column">
                  <wp:posOffset>491490</wp:posOffset>
                </wp:positionH>
                <wp:positionV relativeFrom="paragraph">
                  <wp:posOffset>32385</wp:posOffset>
                </wp:positionV>
                <wp:extent cx="5391150" cy="1028700"/>
                <wp:effectExtent l="19050" t="19050" r="19050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AB4" w:rsidRDefault="0013238F" w:rsidP="0013238F">
                            <w:pPr>
                              <w:jc w:val="both"/>
                            </w:pPr>
                            <w:r>
                              <w:t>La gráfica presenta un acumulado de 137 casos a los cuales se les dio seguimiento por medio de teléfono abierto, durante el mes de enero se dio atención a 54, en febrero a 39 y en marzo 44. El mes de enero es casi siempre abundante en llama</w:t>
                            </w:r>
                            <w:r w:rsidR="00727283">
                              <w:t xml:space="preserve">das reportando casos, tal parece que la ciudadanía en las fiestas de diciembre opta por no llamar y lo deja para el siguiente año.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F413" id="_x0000_s1033" type="#_x0000_t202" style="position:absolute;margin-left:38.7pt;margin-top:2.55pt;width:424.5pt;height:81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" strokecolor="#9dc3e6" strokeweight="2.25pt">
                <v:textbox>
                  <w:txbxContent>
                    <w:p w:rsidR="00CF6AB4" w:rsidRDefault="0013238F" w:rsidP="0013238F">
                      <w:pPr>
                        <w:jc w:val="both"/>
                      </w:pPr>
                      <w:r>
                        <w:t>La gráfica presenta un acumulado de 137 casos a los cuales se les dio seguimiento por medio de teléfono abierto, durante el mes de enero se dio atención a 54, en febrero a 39 y en marzo 44. El mes de enero es casi siempre abundante en llama</w:t>
                      </w:r>
                      <w:r w:rsidR="00727283">
                        <w:t xml:space="preserve">das reportando casos, tal parece que la ciudadanía en las fiestas de diciembre opta por no llamar y lo deja para el siguiente año.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7283" w:rsidRDefault="00727283"/>
    <w:p w:rsidR="00727283" w:rsidRDefault="00727283"/>
    <w:p w:rsidR="009B1E3B" w:rsidRDefault="009B1E3B">
      <w:bookmarkStart w:id="0" w:name="_GoBack"/>
      <w:bookmarkEnd w:id="0"/>
    </w:p>
    <w:sectPr w:rsidR="009B1E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360" w:rsidRDefault="008C3360" w:rsidP="006C23E5">
      <w:pPr>
        <w:spacing w:after="0" w:line="240" w:lineRule="auto"/>
      </w:pPr>
      <w:r>
        <w:separator/>
      </w:r>
    </w:p>
  </w:endnote>
  <w:endnote w:type="continuationSeparator" w:id="0">
    <w:p w:rsidR="008C3360" w:rsidRDefault="008C3360" w:rsidP="006C2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2629959"/>
      <w:docPartObj>
        <w:docPartGallery w:val="Page Numbers (Bottom of Page)"/>
        <w:docPartUnique/>
      </w:docPartObj>
    </w:sdtPr>
    <w:sdtEndPr/>
    <w:sdtContent>
      <w:p w:rsidR="0016676D" w:rsidRDefault="001667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57" w:rsidRPr="00FF5C57">
          <w:rPr>
            <w:noProof/>
            <w:lang w:val="es-ES"/>
          </w:rPr>
          <w:t>9</w:t>
        </w:r>
        <w:r>
          <w:fldChar w:fldCharType="end"/>
        </w:r>
      </w:p>
    </w:sdtContent>
  </w:sdt>
  <w:p w:rsidR="0016676D" w:rsidRDefault="001667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360" w:rsidRDefault="008C3360" w:rsidP="006C23E5">
      <w:pPr>
        <w:spacing w:after="0" w:line="240" w:lineRule="auto"/>
      </w:pPr>
      <w:r>
        <w:separator/>
      </w:r>
    </w:p>
  </w:footnote>
  <w:footnote w:type="continuationSeparator" w:id="0">
    <w:p w:rsidR="008C3360" w:rsidRDefault="008C3360" w:rsidP="006C2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3E5" w:rsidRDefault="006C23E5" w:rsidP="006C23E5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467EBD09" wp14:editId="0726E51B">
          <wp:extent cx="2235200" cy="895985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0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830" w:rsidRDefault="000A08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F6D31"/>
    <w:multiLevelType w:val="multilevel"/>
    <w:tmpl w:val="3B5A66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E5"/>
    <w:rsid w:val="00025DC2"/>
    <w:rsid w:val="00027428"/>
    <w:rsid w:val="000A0830"/>
    <w:rsid w:val="000C260B"/>
    <w:rsid w:val="000F6026"/>
    <w:rsid w:val="00124F58"/>
    <w:rsid w:val="0013238F"/>
    <w:rsid w:val="00137960"/>
    <w:rsid w:val="0016676D"/>
    <w:rsid w:val="00180E43"/>
    <w:rsid w:val="001C2055"/>
    <w:rsid w:val="001C55F9"/>
    <w:rsid w:val="001E2081"/>
    <w:rsid w:val="001E57B1"/>
    <w:rsid w:val="001E776A"/>
    <w:rsid w:val="002371AE"/>
    <w:rsid w:val="002421F0"/>
    <w:rsid w:val="00253128"/>
    <w:rsid w:val="002925EA"/>
    <w:rsid w:val="002B308A"/>
    <w:rsid w:val="002C7739"/>
    <w:rsid w:val="002E26AA"/>
    <w:rsid w:val="002F17C3"/>
    <w:rsid w:val="002F19C4"/>
    <w:rsid w:val="002F3093"/>
    <w:rsid w:val="003272FC"/>
    <w:rsid w:val="00337534"/>
    <w:rsid w:val="00365BC1"/>
    <w:rsid w:val="0038077D"/>
    <w:rsid w:val="00405A66"/>
    <w:rsid w:val="00425EB3"/>
    <w:rsid w:val="00426348"/>
    <w:rsid w:val="004878AD"/>
    <w:rsid w:val="004A0550"/>
    <w:rsid w:val="004B6556"/>
    <w:rsid w:val="004D6BFE"/>
    <w:rsid w:val="00507604"/>
    <w:rsid w:val="00516068"/>
    <w:rsid w:val="005451D4"/>
    <w:rsid w:val="005535AD"/>
    <w:rsid w:val="0056232C"/>
    <w:rsid w:val="00562C0F"/>
    <w:rsid w:val="0057572B"/>
    <w:rsid w:val="00577C8F"/>
    <w:rsid w:val="00581B9D"/>
    <w:rsid w:val="00585E4C"/>
    <w:rsid w:val="005954F0"/>
    <w:rsid w:val="00596F83"/>
    <w:rsid w:val="005D07CD"/>
    <w:rsid w:val="005D6D50"/>
    <w:rsid w:val="00622B6F"/>
    <w:rsid w:val="006474C1"/>
    <w:rsid w:val="00647A8B"/>
    <w:rsid w:val="00653479"/>
    <w:rsid w:val="006B7091"/>
    <w:rsid w:val="006C23E5"/>
    <w:rsid w:val="006C5C96"/>
    <w:rsid w:val="00727283"/>
    <w:rsid w:val="00734820"/>
    <w:rsid w:val="00776E08"/>
    <w:rsid w:val="00784AA5"/>
    <w:rsid w:val="007D340A"/>
    <w:rsid w:val="008208C4"/>
    <w:rsid w:val="0083027D"/>
    <w:rsid w:val="00862D0B"/>
    <w:rsid w:val="00863432"/>
    <w:rsid w:val="008637CC"/>
    <w:rsid w:val="0089197F"/>
    <w:rsid w:val="008C3360"/>
    <w:rsid w:val="008C7020"/>
    <w:rsid w:val="008D5AC3"/>
    <w:rsid w:val="008E12F7"/>
    <w:rsid w:val="00921062"/>
    <w:rsid w:val="00927ECA"/>
    <w:rsid w:val="00931CA2"/>
    <w:rsid w:val="00934EC0"/>
    <w:rsid w:val="00940582"/>
    <w:rsid w:val="00945D8E"/>
    <w:rsid w:val="00954F1F"/>
    <w:rsid w:val="00963136"/>
    <w:rsid w:val="00985AC2"/>
    <w:rsid w:val="00996E1E"/>
    <w:rsid w:val="009A4F9C"/>
    <w:rsid w:val="009B1E3B"/>
    <w:rsid w:val="009C68AE"/>
    <w:rsid w:val="009F1C3F"/>
    <w:rsid w:val="009F2FEE"/>
    <w:rsid w:val="009F3A22"/>
    <w:rsid w:val="00A3360E"/>
    <w:rsid w:val="00A64DC9"/>
    <w:rsid w:val="00A66D3C"/>
    <w:rsid w:val="00A7642A"/>
    <w:rsid w:val="00A82AE5"/>
    <w:rsid w:val="00A8480E"/>
    <w:rsid w:val="00AA18A3"/>
    <w:rsid w:val="00AB008B"/>
    <w:rsid w:val="00AB3308"/>
    <w:rsid w:val="00AB33B0"/>
    <w:rsid w:val="00AC1055"/>
    <w:rsid w:val="00AF67C8"/>
    <w:rsid w:val="00B0393D"/>
    <w:rsid w:val="00B23CAD"/>
    <w:rsid w:val="00B408EE"/>
    <w:rsid w:val="00B450F7"/>
    <w:rsid w:val="00B76BAA"/>
    <w:rsid w:val="00B8046C"/>
    <w:rsid w:val="00B96EDB"/>
    <w:rsid w:val="00BB4EA4"/>
    <w:rsid w:val="00BE4B85"/>
    <w:rsid w:val="00C64056"/>
    <w:rsid w:val="00CB316C"/>
    <w:rsid w:val="00CC6D30"/>
    <w:rsid w:val="00CE2AFB"/>
    <w:rsid w:val="00CE3CBD"/>
    <w:rsid w:val="00CF166B"/>
    <w:rsid w:val="00CF6AB4"/>
    <w:rsid w:val="00D21FFB"/>
    <w:rsid w:val="00D3512F"/>
    <w:rsid w:val="00D5466E"/>
    <w:rsid w:val="00D573A4"/>
    <w:rsid w:val="00D873F2"/>
    <w:rsid w:val="00DE1550"/>
    <w:rsid w:val="00E10CA2"/>
    <w:rsid w:val="00E13293"/>
    <w:rsid w:val="00E47351"/>
    <w:rsid w:val="00E74DB4"/>
    <w:rsid w:val="00EB12E4"/>
    <w:rsid w:val="00ED1C42"/>
    <w:rsid w:val="00ED4EA5"/>
    <w:rsid w:val="00EE25DA"/>
    <w:rsid w:val="00EE28E0"/>
    <w:rsid w:val="00F23904"/>
    <w:rsid w:val="00F536C8"/>
    <w:rsid w:val="00F56B9E"/>
    <w:rsid w:val="00FB0191"/>
    <w:rsid w:val="00FC3124"/>
    <w:rsid w:val="00FC517B"/>
    <w:rsid w:val="00FE03F1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5F8FCBC-1873-4C2D-8C16-16A40944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3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3E5"/>
  </w:style>
  <w:style w:type="paragraph" w:styleId="Piedepgina">
    <w:name w:val="footer"/>
    <w:basedOn w:val="Normal"/>
    <w:link w:val="PiedepginaCar"/>
    <w:uiPriority w:val="99"/>
    <w:unhideWhenUsed/>
    <w:rsid w:val="006C2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3E5"/>
  </w:style>
  <w:style w:type="character" w:customStyle="1" w:styleId="Ttulo1Car">
    <w:name w:val="Título 1 Car"/>
    <w:basedOn w:val="Fuentedeprrafopredeter"/>
    <w:link w:val="Ttulo1"/>
    <w:uiPriority w:val="9"/>
    <w:rsid w:val="007D3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aliases w:val="Párrafo de lista - colocho lara,Párrafo de lista - CGothic,Resume Title,Bullet List,Number Bullets,First Level Outline,Ha,Primus H 3,lp1,List Paragraph1,Use Case List Paragraph,YC Bulet,Citation List"/>
    <w:basedOn w:val="Normal"/>
    <w:link w:val="PrrafodelistaCar"/>
    <w:uiPriority w:val="99"/>
    <w:qFormat/>
    <w:rsid w:val="009F2FEE"/>
    <w:pPr>
      <w:widowControl w:val="0"/>
      <w:adjustRightInd w:val="0"/>
      <w:spacing w:after="0"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- colocho lara Car,Párrafo de lista - CGothic Car,Resume Title Car,Bullet List Car,Number Bullets Car,First Level Outline Car,Ha Car,Primus H 3 Car,lp1 Car,List Paragraph1 Car,Use Case List Paragraph Car"/>
    <w:link w:val="Prrafodelista"/>
    <w:uiPriority w:val="99"/>
    <w:locked/>
    <w:rsid w:val="009F2FE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ividades%20del%20trimestre%20UNO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ividades%20del%20trimestre%20UNO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ividades%20del%20trimestre%20UNO%20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ividades%20del%20trimestre%20UNO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ocuments\2023\Actividades%20Realizadas\Actividades%20del%20trimestre%20UNO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Departamentos atendidos en el 1er trimestre 2023</a:t>
            </a:r>
          </a:p>
        </c:rich>
      </c:tx>
      <c:layout>
        <c:manualLayout>
          <c:xMode val="edge"/>
          <c:yMode val="edge"/>
          <c:x val="0.1788163459986602"/>
          <c:y val="6.29194630872483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405337343824799E-2"/>
          <c:y val="0.19418322830828891"/>
          <c:w val="0.90887077796141169"/>
          <c:h val="0.6421021293811856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Gráficos!$K$19</c:f>
              <c:strCache>
                <c:ptCount val="1"/>
                <c:pt idx="0">
                  <c:v>Departamentos atendidos en el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Gráficos!$J$20:$J$33</c:f>
              <c:strCache>
                <c:ptCount val="14"/>
                <c:pt idx="0">
                  <c:v>San Salvador</c:v>
                </c:pt>
                <c:pt idx="1">
                  <c:v>La Libertad</c:v>
                </c:pt>
                <c:pt idx="2">
                  <c:v>La Paz</c:v>
                </c:pt>
                <c:pt idx="3">
                  <c:v>Ahuachapán</c:v>
                </c:pt>
                <c:pt idx="4">
                  <c:v>La Unión </c:v>
                </c:pt>
                <c:pt idx="5">
                  <c:v>San Miguel</c:v>
                </c:pt>
                <c:pt idx="6">
                  <c:v>Cabañas</c:v>
                </c:pt>
                <c:pt idx="7">
                  <c:v>Usulután </c:v>
                </c:pt>
                <c:pt idx="8">
                  <c:v>Sonsonate</c:v>
                </c:pt>
                <c:pt idx="9">
                  <c:v>Cuscatlán</c:v>
                </c:pt>
                <c:pt idx="10">
                  <c:v>Santa Ana</c:v>
                </c:pt>
                <c:pt idx="11">
                  <c:v>San Vicente</c:v>
                </c:pt>
                <c:pt idx="12">
                  <c:v>Chalatenango</c:v>
                </c:pt>
                <c:pt idx="13">
                  <c:v>Morazán</c:v>
                </c:pt>
              </c:strCache>
            </c:strRef>
          </c:cat>
          <c:val>
            <c:numRef>
              <c:f>Gráficos!$K$20:$K$33</c:f>
              <c:numCache>
                <c:formatCode>General</c:formatCode>
                <c:ptCount val="14"/>
                <c:pt idx="0">
                  <c:v>93</c:v>
                </c:pt>
                <c:pt idx="1">
                  <c:v>37</c:v>
                </c:pt>
                <c:pt idx="2">
                  <c:v>12</c:v>
                </c:pt>
                <c:pt idx="3">
                  <c:v>10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4425488"/>
        <c:axId val="1214429840"/>
        <c:axId val="1228127648"/>
      </c:bar3DChart>
      <c:catAx>
        <c:axId val="121442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9840"/>
        <c:crosses val="autoZero"/>
        <c:auto val="1"/>
        <c:lblAlgn val="ctr"/>
        <c:lblOffset val="100"/>
        <c:noMultiLvlLbl val="0"/>
      </c:catAx>
      <c:valAx>
        <c:axId val="1214429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5488"/>
        <c:crosses val="autoZero"/>
        <c:crossBetween val="between"/>
      </c:valAx>
      <c:serAx>
        <c:axId val="1228127648"/>
        <c:scaling>
          <c:orientation val="minMax"/>
        </c:scaling>
        <c:delete val="1"/>
        <c:axPos val="b"/>
        <c:majorTickMark val="none"/>
        <c:minorTickMark val="none"/>
        <c:tickLblPos val="nextTo"/>
        <c:crossAx val="12144298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Municipios</a:t>
            </a:r>
            <a:r>
              <a:rPr lang="es-SV" baseline="0"/>
              <a:t> atendidos en el 1er. trimestre 2023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Gráficos!$H$20</c:f>
              <c:strCache>
                <c:ptCount val="1"/>
                <c:pt idx="0">
                  <c:v>San Salvador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Gráficos!$I$20</c:f>
              <c:numCache>
                <c:formatCode>General</c:formatCode>
                <c:ptCount val="1"/>
                <c:pt idx="0">
                  <c:v>37</c:v>
                </c:pt>
              </c:numCache>
            </c:numRef>
          </c:val>
        </c:ser>
        <c:ser>
          <c:idx val="1"/>
          <c:order val="1"/>
          <c:tx>
            <c:strRef>
              <c:f>Gráficos!$H$21</c:f>
              <c:strCache>
                <c:ptCount val="1"/>
                <c:pt idx="0">
                  <c:v>Ilopango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Gráficos!$I$21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2"/>
          <c:order val="2"/>
          <c:tx>
            <c:strRef>
              <c:f>Gráficos!$H$22</c:f>
              <c:strCache>
                <c:ptCount val="1"/>
                <c:pt idx="0">
                  <c:v>Soyapango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Gráficos!$H$23</c:f>
              <c:strCache>
                <c:ptCount val="1"/>
                <c:pt idx="0">
                  <c:v>Chiltiupán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Gráficos!$I$23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4"/>
          <c:order val="4"/>
          <c:tx>
            <c:strRef>
              <c:f>Gráficos!$H$24</c:f>
              <c:strCache>
                <c:ptCount val="1"/>
                <c:pt idx="0">
                  <c:v>San Miguel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5"/>
          <c:order val="5"/>
          <c:tx>
            <c:strRef>
              <c:f>Gráficos!$H$25</c:f>
              <c:strCache>
                <c:ptCount val="1"/>
                <c:pt idx="0">
                  <c:v>Conchagua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Gráficos!$I$25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6"/>
          <c:order val="6"/>
          <c:tx>
            <c:strRef>
              <c:f>Gráficos!$H$26</c:f>
              <c:strCache>
                <c:ptCount val="1"/>
                <c:pt idx="0">
                  <c:v>Colón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Gráficos!$I$26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7"/>
          <c:order val="7"/>
          <c:tx>
            <c:strRef>
              <c:f>Gráficos!$H$27</c:f>
              <c:strCache>
                <c:ptCount val="1"/>
                <c:pt idx="0">
                  <c:v>Apopa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8"/>
          <c:order val="8"/>
          <c:tx>
            <c:strRef>
              <c:f>Gráficos!$H$28</c:f>
              <c:strCache>
                <c:ptCount val="1"/>
                <c:pt idx="0">
                  <c:v>San Pedro Masahuat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Gráficos!$I$28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9"/>
          <c:order val="9"/>
          <c:tx>
            <c:strRef>
              <c:f>Gráficos!$H$29</c:f>
              <c:strCache>
                <c:ptCount val="1"/>
                <c:pt idx="0">
                  <c:v>Ahuachapán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Gráficos!$I$29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0"/>
          <c:order val="10"/>
          <c:tx>
            <c:strRef>
              <c:f>Gráficos!$H$30</c:f>
              <c:strCache>
                <c:ptCount val="1"/>
                <c:pt idx="0">
                  <c:v>La Libertad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Gráficos!$I$30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1"/>
          <c:order val="11"/>
          <c:tx>
            <c:strRef>
              <c:f>Gráficos!$H$31</c:f>
              <c:strCache>
                <c:ptCount val="1"/>
                <c:pt idx="0">
                  <c:v>San José Villanueva 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2"/>
          <c:order val="12"/>
          <c:tx>
            <c:strRef>
              <c:f>Gráficos!$H$32</c:f>
              <c:strCache>
                <c:ptCount val="1"/>
                <c:pt idx="0">
                  <c:v>San Juan Opico</c:v>
                </c:pt>
              </c:strCache>
            </c:strRef>
          </c:tx>
          <c:spPr>
            <a:solidFill>
              <a:schemeClr val="accent1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3"/>
          <c:order val="13"/>
          <c:tx>
            <c:strRef>
              <c:f>Gráficos!$H$33</c:f>
              <c:strCache>
                <c:ptCount val="1"/>
                <c:pt idx="0">
                  <c:v>San Luis La Herradura</c:v>
                </c:pt>
              </c:strCache>
            </c:strRef>
          </c:tx>
          <c:spPr>
            <a:solidFill>
              <a:schemeClr val="accent2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4"/>
          <c:order val="14"/>
          <c:tx>
            <c:strRef>
              <c:f>Gráficos!$H$34</c:f>
              <c:strCache>
                <c:ptCount val="1"/>
                <c:pt idx="0">
                  <c:v>San Martín </c:v>
                </c:pt>
              </c:strCache>
            </c:strRef>
          </c:tx>
          <c:spPr>
            <a:solidFill>
              <a:schemeClr val="accent3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5"/>
          <c:order val="15"/>
          <c:tx>
            <c:strRef>
              <c:f>Gráficos!$H$35</c:f>
              <c:strCache>
                <c:ptCount val="1"/>
                <c:pt idx="0">
                  <c:v>Antiguo Cuscatlán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6"/>
          <c:order val="16"/>
          <c:tx>
            <c:strRef>
              <c:f>Gráficos!$H$36</c:f>
              <c:strCache>
                <c:ptCount val="1"/>
                <c:pt idx="0">
                  <c:v>Chalchuapa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Gráficos!$I$36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7"/>
          <c:order val="17"/>
          <c:tx>
            <c:strRef>
              <c:f>Gráficos!$H$37</c:f>
              <c:strCache>
                <c:ptCount val="1"/>
                <c:pt idx="0">
                  <c:v>Ciudad Arce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8"/>
          <c:order val="18"/>
          <c:tx>
            <c:strRef>
              <c:f>Gráficos!$H$38</c:f>
              <c:strCache>
                <c:ptCount val="1"/>
                <c:pt idx="0">
                  <c:v>El Rosario</c:v>
                </c:pt>
              </c:strCache>
            </c:strRef>
          </c:tx>
          <c:spPr>
            <a:solidFill>
              <a:schemeClr val="accent1">
                <a:lumMod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Gráficos!$I$38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9"/>
          <c:order val="19"/>
          <c:tx>
            <c:strRef>
              <c:f>Gráficos!$H$39</c:f>
              <c:strCache>
                <c:ptCount val="1"/>
                <c:pt idx="0">
                  <c:v>Jujutla</c:v>
                </c:pt>
              </c:strCache>
            </c:strRef>
          </c:tx>
          <c:spPr>
            <a:solidFill>
              <a:schemeClr val="accent2">
                <a:lumMod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Gráficos!$I$39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0"/>
          <c:order val="20"/>
          <c:tx>
            <c:strRef>
              <c:f>Gráficos!$H$40</c:f>
              <c:strCache>
                <c:ptCount val="1"/>
                <c:pt idx="0">
                  <c:v>Olocuilta</c:v>
                </c:pt>
              </c:strCache>
            </c:strRef>
          </c:tx>
          <c:spPr>
            <a:solidFill>
              <a:schemeClr val="accent3">
                <a:lumMod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Gráficos!$I$40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1"/>
          <c:order val="21"/>
          <c:tx>
            <c:strRef>
              <c:f>Gráficos!$H$41</c:f>
              <c:strCache>
                <c:ptCount val="1"/>
                <c:pt idx="0">
                  <c:v>Sacacoyo</c:v>
                </c:pt>
              </c:strCache>
            </c:strRef>
          </c:tx>
          <c:spPr>
            <a:solidFill>
              <a:schemeClr val="accent4">
                <a:lumMod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Gráficos!$I$41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2"/>
          <c:order val="22"/>
          <c:tx>
            <c:strRef>
              <c:f>Gráficos!$H$42</c:f>
              <c:strCache>
                <c:ptCount val="1"/>
                <c:pt idx="0">
                  <c:v>San Marcos</c:v>
                </c:pt>
              </c:strCache>
            </c:strRef>
          </c:tx>
          <c:spPr>
            <a:solidFill>
              <a:schemeClr val="accent5">
                <a:lumMod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Gráficos!$I$42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3"/>
          <c:order val="23"/>
          <c:tx>
            <c:strRef>
              <c:f>Gráficos!$H$43</c:f>
              <c:strCache>
                <c:ptCount val="1"/>
                <c:pt idx="0">
                  <c:v>San Rafael Cedros</c:v>
                </c:pt>
              </c:strCache>
            </c:strRef>
          </c:tx>
          <c:spPr>
            <a:solidFill>
              <a:schemeClr val="accent6">
                <a:lumMod val="8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Gráficos!$I$43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4"/>
          <c:order val="24"/>
          <c:tx>
            <c:strRef>
              <c:f>Gráficos!$H$44</c:f>
              <c:strCache>
                <c:ptCount val="1"/>
                <c:pt idx="0">
                  <c:v>Santa Ana 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6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Gráficos!$I$19</c:f>
              <c:strCache>
                <c:ptCount val="1"/>
                <c:pt idx="0">
                  <c:v>Municipios atendidos más de una vez</c:v>
                </c:pt>
              </c:strCache>
            </c:strRef>
          </c:cat>
          <c:val>
            <c:numRef>
              <c:f>Gráficos!$I$44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4426576"/>
        <c:axId val="1214415696"/>
        <c:axId val="0"/>
      </c:bar3DChart>
      <c:catAx>
        <c:axId val="12144265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4415696"/>
        <c:crosses val="autoZero"/>
        <c:auto val="1"/>
        <c:lblAlgn val="ctr"/>
        <c:lblOffset val="100"/>
        <c:noMultiLvlLbl val="0"/>
      </c:catAx>
      <c:valAx>
        <c:axId val="1214415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341753782483677E-2"/>
          <c:y val="0.63389811383294958"/>
          <c:w val="0.95384357672014553"/>
          <c:h val="0.348188764805653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Municipios</a:t>
            </a:r>
            <a:r>
              <a:rPr lang="es-SV" baseline="0"/>
              <a:t> con una sola intervención</a:t>
            </a:r>
          </a:p>
          <a:p>
            <a:pPr>
              <a:defRPr/>
            </a:pPr>
            <a:r>
              <a:rPr lang="es-SV" sz="1200" baseline="0"/>
              <a:t>en el 1er trimestre 2023</a:t>
            </a:r>
            <a:endParaRPr lang="es-SV" sz="1200"/>
          </a:p>
        </c:rich>
      </c:tx>
      <c:layout>
        <c:manualLayout>
          <c:xMode val="edge"/>
          <c:yMode val="edge"/>
          <c:x val="0.28526168394602319"/>
          <c:y val="1.58715129691803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explosion val="1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4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Hoja3!$A$1:$A$28</c:f>
              <c:strCache>
                <c:ptCount val="28"/>
                <c:pt idx="0">
                  <c:v>Acajutla</c:v>
                </c:pt>
                <c:pt idx="1">
                  <c:v>Ayutuxtepeque</c:v>
                </c:pt>
                <c:pt idx="2">
                  <c:v>Cabañas</c:v>
                </c:pt>
                <c:pt idx="3">
                  <c:v>San Matías</c:v>
                </c:pt>
                <c:pt idx="4">
                  <c:v>Coatepeque</c:v>
                </c:pt>
                <c:pt idx="5">
                  <c:v>Concepción Quezaltepeque</c:v>
                </c:pt>
                <c:pt idx="6">
                  <c:v>Ilobasco</c:v>
                </c:pt>
                <c:pt idx="7">
                  <c:v>Jocoaitique</c:v>
                </c:pt>
                <c:pt idx="8">
                  <c:v>La Unión </c:v>
                </c:pt>
                <c:pt idx="9">
                  <c:v>Mejicanos</c:v>
                </c:pt>
                <c:pt idx="10">
                  <c:v>Panchimalco</c:v>
                </c:pt>
                <c:pt idx="11">
                  <c:v>Puerto de La Libertad</c:v>
                </c:pt>
                <c:pt idx="12">
                  <c:v>San Buena Ventura</c:v>
                </c:pt>
                <c:pt idx="13">
                  <c:v>San Dionisio </c:v>
                </c:pt>
                <c:pt idx="14">
                  <c:v>San Francisco Menéndez</c:v>
                </c:pt>
                <c:pt idx="15">
                  <c:v>Santa Cruz Michapa</c:v>
                </c:pt>
                <c:pt idx="16">
                  <c:v>Santa Elena </c:v>
                </c:pt>
                <c:pt idx="17">
                  <c:v>Santa Tecla</c:v>
                </c:pt>
                <c:pt idx="18">
                  <c:v>Santiago Nonualco</c:v>
                </c:pt>
                <c:pt idx="19">
                  <c:v>Santo Tomas</c:v>
                </c:pt>
                <c:pt idx="20">
                  <c:v>Sensunapan</c:v>
                </c:pt>
                <c:pt idx="21">
                  <c:v>Sensuntepeque</c:v>
                </c:pt>
                <c:pt idx="22">
                  <c:v>Suchitoto</c:v>
                </c:pt>
                <c:pt idx="23">
                  <c:v>Tacuba</c:v>
                </c:pt>
                <c:pt idx="24">
                  <c:v>Tamanique</c:v>
                </c:pt>
                <c:pt idx="25">
                  <c:v>Tecoluca</c:v>
                </c:pt>
                <c:pt idx="26">
                  <c:v>Teotepeque</c:v>
                </c:pt>
                <c:pt idx="27">
                  <c:v>Tepetitan </c:v>
                </c:pt>
              </c:strCache>
            </c:strRef>
          </c:cat>
          <c:val>
            <c:numRef>
              <c:f>Hoja3!$B$1:$B$28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2398969468377032"/>
          <c:w val="1"/>
          <c:h val="0.475611476732754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Total de acciones con</a:t>
            </a:r>
            <a:r>
              <a:rPr lang="es-SV" baseline="0"/>
              <a:t> participación ciudadana desarrolladas en el primer trimestre 2023</a:t>
            </a:r>
            <a:endParaRPr lang="es-SV"/>
          </a:p>
        </c:rich>
      </c:tx>
      <c:layout>
        <c:manualLayout>
          <c:xMode val="edge"/>
          <c:yMode val="edge"/>
          <c:x val="0.20059389215859216"/>
          <c:y val="2.62180467555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Hoja3!$B$36</c:f>
              <c:strCache>
                <c:ptCount val="1"/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Hoja3!$A$37:$A$41</c:f>
              <c:strCache>
                <c:ptCount val="5"/>
                <c:pt idx="1">
                  <c:v>enero </c:v>
                </c:pt>
                <c:pt idx="2">
                  <c:v>febrero</c:v>
                </c:pt>
                <c:pt idx="3">
                  <c:v>marzo</c:v>
                </c:pt>
                <c:pt idx="4">
                  <c:v>acumulado </c:v>
                </c:pt>
              </c:strCache>
            </c:strRef>
          </c:cat>
          <c:val>
            <c:numRef>
              <c:f>Hoja3!$B$37:$B$41</c:f>
              <c:numCache>
                <c:formatCode>General</c:formatCode>
                <c:ptCount val="5"/>
                <c:pt idx="1">
                  <c:v>44</c:v>
                </c:pt>
                <c:pt idx="2">
                  <c:v>65</c:v>
                </c:pt>
                <c:pt idx="3">
                  <c:v>78</c:v>
                </c:pt>
                <c:pt idx="4">
                  <c:v>187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214428208"/>
        <c:axId val="1214419504"/>
      </c:lineChart>
      <c:catAx>
        <c:axId val="1214428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19504"/>
        <c:crosses val="autoZero"/>
        <c:auto val="1"/>
        <c:lblAlgn val="ctr"/>
        <c:lblOffset val="100"/>
        <c:noMultiLvlLbl val="0"/>
      </c:catAx>
      <c:valAx>
        <c:axId val="1214419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820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zero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Acciones - Participación</a:t>
            </a:r>
            <a:r>
              <a:rPr lang="en-US" baseline="0"/>
              <a:t> Ciudadana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47312489063867019"/>
          <c:y val="0.17171296296296298"/>
          <c:w val="0.49754177602799649"/>
          <c:h val="0.7994699620880723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Gráficos!$C$20:$C$35</c:f>
              <c:strCache>
                <c:ptCount val="16"/>
                <c:pt idx="0">
                  <c:v>Atención y orientación de la ciudadanía en oficina</c:v>
                </c:pt>
                <c:pt idx="1">
                  <c:v>Inspección in situ </c:v>
                </c:pt>
                <c:pt idx="2">
                  <c:v>Reunión con otras áreas MOPT/FOVIAL/Cooperantes</c:v>
                </c:pt>
                <c:pt idx="3">
                  <c:v>Gestión Social en procesos, programas, proyectos de nación MOPT ó de otras áreas del ejecutivo.</c:v>
                </c:pt>
                <c:pt idx="4">
                  <c:v>Reunión con adesco y/o gestión para seguimiento de caso</c:v>
                </c:pt>
                <c:pt idx="5">
                  <c:v>Visita casa por casa </c:v>
                </c:pt>
                <c:pt idx="6">
                  <c:v>Acompañamiento a titular</c:v>
                </c:pt>
                <c:pt idx="7">
                  <c:v>Reunión con municipalidad</c:v>
                </c:pt>
                <c:pt idx="8">
                  <c:v>Asamblea Informativa</c:v>
                </c:pt>
                <c:pt idx="9">
                  <c:v>Reunión virtual de trabajo</c:v>
                </c:pt>
                <c:pt idx="10">
                  <c:v>Reunión con empresa</c:v>
                </c:pt>
                <c:pt idx="11">
                  <c:v>Consulta Pública Ciudadana</c:v>
                </c:pt>
                <c:pt idx="12">
                  <c:v>Asistencia social en conflicto</c:v>
                </c:pt>
                <c:pt idx="13">
                  <c:v>Reuniones de Gabinete</c:v>
                </c:pt>
                <c:pt idx="14">
                  <c:v>Censo</c:v>
                </c:pt>
                <c:pt idx="15">
                  <c:v>Audiencia</c:v>
                </c:pt>
              </c:strCache>
            </c:strRef>
          </c:cat>
          <c:val>
            <c:numRef>
              <c:f>Gráficos!$D$20:$D$35</c:f>
              <c:numCache>
                <c:formatCode>General</c:formatCode>
                <c:ptCount val="16"/>
                <c:pt idx="0">
                  <c:v>49</c:v>
                </c:pt>
                <c:pt idx="1">
                  <c:v>42</c:v>
                </c:pt>
                <c:pt idx="2">
                  <c:v>20</c:v>
                </c:pt>
                <c:pt idx="3">
                  <c:v>14</c:v>
                </c:pt>
                <c:pt idx="4">
                  <c:v>13</c:v>
                </c:pt>
                <c:pt idx="5">
                  <c:v>11</c:v>
                </c:pt>
                <c:pt idx="6">
                  <c:v>9</c:v>
                </c:pt>
                <c:pt idx="7">
                  <c:v>7</c:v>
                </c:pt>
                <c:pt idx="8">
                  <c:v>6</c:v>
                </c:pt>
                <c:pt idx="9">
                  <c:v>5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/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14422224"/>
        <c:axId val="1214421136"/>
      </c:barChart>
      <c:catAx>
        <c:axId val="1214422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1136"/>
        <c:crosses val="autoZero"/>
        <c:auto val="1"/>
        <c:lblAlgn val="ctr"/>
        <c:lblOffset val="100"/>
        <c:noMultiLvlLbl val="0"/>
      </c:catAx>
      <c:valAx>
        <c:axId val="12144211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14422224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Atención en oficina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Hoja3!$A$58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Hoja3!$B$58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Hoja3!$A$59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Hoja3!$B$59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Hoja3!$A$60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Hoja3!$B$60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3"/>
          <c:order val="3"/>
          <c:tx>
            <c:strRef>
              <c:f>Hoja3!$A$61</c:f>
              <c:strCache>
                <c:ptCount val="1"/>
                <c:pt idx="0">
                  <c:v>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Hoja3!$B$61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14417872"/>
        <c:axId val="1214416784"/>
        <c:axId val="0"/>
      </c:bar3DChart>
      <c:catAx>
        <c:axId val="12144178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14416784"/>
        <c:crosses val="autoZero"/>
        <c:auto val="1"/>
        <c:lblAlgn val="ctr"/>
        <c:lblOffset val="100"/>
        <c:noMultiLvlLbl val="0"/>
      </c:catAx>
      <c:valAx>
        <c:axId val="121441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1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Inspecciones Sociales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Hoja3!$A$65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rgbClr val="FBCDF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Hoja3!$B$65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Hoja3!$A$66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rgbClr val="FBCDF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Hoja3!$B$66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Hoja3!$A$67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rgbClr val="FBCDF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Hoja3!$B$67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3"/>
          <c:order val="3"/>
          <c:tx>
            <c:strRef>
              <c:f>Hoja3!$A$68</c:f>
              <c:strCache>
                <c:ptCount val="1"/>
                <c:pt idx="0">
                  <c:v>Trimestre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rgbClr val="FBCDF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Hoja3!$B$68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14427120"/>
        <c:axId val="1214420048"/>
        <c:axId val="0"/>
      </c:bar3DChart>
      <c:catAx>
        <c:axId val="1214427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14420048"/>
        <c:crosses val="autoZero"/>
        <c:auto val="1"/>
        <c:lblAlgn val="ctr"/>
        <c:lblOffset val="100"/>
        <c:noMultiLvlLbl val="0"/>
      </c:catAx>
      <c:valAx>
        <c:axId val="121442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por teléfono abierto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393217866812095E-4"/>
          <c:y val="0.12329724769058599"/>
          <c:w val="0.89353966509769545"/>
          <c:h val="0.7809421200866515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Hoja1!$A$30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Hoja1!$A$31</c:f>
              <c:numCache>
                <c:formatCode>General</c:formatCode>
                <c:ptCount val="1"/>
                <c:pt idx="0">
                  <c:v>54</c:v>
                </c:pt>
              </c:numCache>
            </c:numRef>
          </c:val>
        </c:ser>
        <c:ser>
          <c:idx val="2"/>
          <c:order val="2"/>
          <c:tx>
            <c:strRef>
              <c:f>Hoja1!$C$30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Hoja1!$C$31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4"/>
          <c:order val="4"/>
          <c:tx>
            <c:strRef>
              <c:f>Hoja1!$E$30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Hoja1!$E$31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ser>
          <c:idx val="5"/>
          <c:order val="5"/>
          <c:tx>
            <c:strRef>
              <c:f>Hoja1!$F$30</c:f>
              <c:strCache>
                <c:ptCount val="1"/>
                <c:pt idx="0">
                  <c:v>Trimestre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Hoja1!$F$31</c:f>
              <c:numCache>
                <c:formatCode>General</c:formatCode>
                <c:ptCount val="1"/>
                <c:pt idx="0">
                  <c:v>137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1214427664"/>
        <c:axId val="1214423312"/>
        <c:axId val="122812140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Hoja1!$B$30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Hoja1!$B$31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Hoja1!$D$30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SV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Hoja1!$D$31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</c:ext>
        </c:extLst>
      </c:bar3DChart>
      <c:catAx>
        <c:axId val="12144276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14423312"/>
        <c:crosses val="autoZero"/>
        <c:auto val="1"/>
        <c:lblAlgn val="ctr"/>
        <c:lblOffset val="100"/>
        <c:noMultiLvlLbl val="0"/>
      </c:catAx>
      <c:valAx>
        <c:axId val="12144233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14427664"/>
        <c:crosses val="autoZero"/>
        <c:crossBetween val="between"/>
      </c:valAx>
      <c:serAx>
        <c:axId val="12281214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14423312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B131-F36F-487F-9252-B2E56854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26</cp:revision>
  <dcterms:created xsi:type="dcterms:W3CDTF">2023-04-11T17:22:00Z</dcterms:created>
  <dcterms:modified xsi:type="dcterms:W3CDTF">2023-04-18T17:09:00Z</dcterms:modified>
</cp:coreProperties>
</file>