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B2" w:rsidRDefault="00B36DB2" w:rsidP="00496A48">
      <w:pPr>
        <w:spacing w:after="0" w:line="240" w:lineRule="auto"/>
        <w:jc w:val="center"/>
        <w:rPr>
          <w:b/>
          <w:sz w:val="28"/>
          <w:szCs w:val="28"/>
        </w:rPr>
      </w:pPr>
    </w:p>
    <w:p w:rsidR="00B41388" w:rsidRPr="00AA600E" w:rsidRDefault="00663C57" w:rsidP="00F26CE6">
      <w:pPr>
        <w:pStyle w:val="Ttulo1"/>
        <w:spacing w:befor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SOLICITUDES </w:t>
      </w:r>
      <w:r w:rsidR="00524D06" w:rsidRPr="00AA600E">
        <w:rPr>
          <w:b/>
          <w:color w:val="auto"/>
          <w:sz w:val="28"/>
          <w:szCs w:val="28"/>
        </w:rPr>
        <w:t xml:space="preserve">DE OBRA PÚBLICA </w:t>
      </w:r>
      <w:r w:rsidR="00EB51D9" w:rsidRPr="00AA600E">
        <w:rPr>
          <w:b/>
          <w:color w:val="auto"/>
          <w:sz w:val="28"/>
          <w:szCs w:val="28"/>
        </w:rPr>
        <w:t>D</w:t>
      </w:r>
      <w:r w:rsidR="00AD0C86" w:rsidRPr="00AA600E">
        <w:rPr>
          <w:b/>
          <w:color w:val="auto"/>
          <w:sz w:val="28"/>
          <w:szCs w:val="28"/>
        </w:rPr>
        <w:t>EL</w:t>
      </w:r>
      <w:r w:rsidR="00074E4D">
        <w:rPr>
          <w:b/>
          <w:color w:val="auto"/>
          <w:sz w:val="28"/>
          <w:szCs w:val="28"/>
        </w:rPr>
        <w:t xml:space="preserve"> </w:t>
      </w:r>
      <w:r w:rsidR="002A30CE">
        <w:rPr>
          <w:b/>
          <w:color w:val="auto"/>
          <w:sz w:val="28"/>
          <w:szCs w:val="28"/>
        </w:rPr>
        <w:t xml:space="preserve">PRIMER </w:t>
      </w:r>
      <w:r w:rsidR="00AD0C86" w:rsidRPr="00AA600E">
        <w:rPr>
          <w:b/>
          <w:color w:val="auto"/>
          <w:sz w:val="28"/>
          <w:szCs w:val="28"/>
        </w:rPr>
        <w:t xml:space="preserve">TRIMESTRE </w:t>
      </w:r>
      <w:r w:rsidR="00524D06" w:rsidRPr="00AA600E">
        <w:rPr>
          <w:b/>
          <w:color w:val="auto"/>
          <w:sz w:val="28"/>
          <w:szCs w:val="28"/>
        </w:rPr>
        <w:t>20</w:t>
      </w:r>
      <w:r w:rsidR="0010130F" w:rsidRPr="00AA600E">
        <w:rPr>
          <w:b/>
          <w:color w:val="auto"/>
          <w:sz w:val="28"/>
          <w:szCs w:val="28"/>
        </w:rPr>
        <w:t>2</w:t>
      </w:r>
      <w:r w:rsidR="002A30CE">
        <w:rPr>
          <w:b/>
          <w:color w:val="auto"/>
          <w:sz w:val="28"/>
          <w:szCs w:val="28"/>
        </w:rPr>
        <w:t>2</w:t>
      </w:r>
    </w:p>
    <w:p w:rsidR="0065734E" w:rsidRPr="00AA600E" w:rsidRDefault="00B41388" w:rsidP="00F26CE6">
      <w:pPr>
        <w:pStyle w:val="Ttulo1"/>
        <w:spacing w:before="0"/>
        <w:jc w:val="center"/>
        <w:rPr>
          <w:b/>
          <w:color w:val="auto"/>
          <w:sz w:val="28"/>
          <w:szCs w:val="28"/>
        </w:rPr>
      </w:pPr>
      <w:r w:rsidRPr="00AA600E">
        <w:rPr>
          <w:b/>
          <w:color w:val="auto"/>
          <w:sz w:val="28"/>
          <w:szCs w:val="28"/>
        </w:rPr>
        <w:t>(Recibida con nota – por escrito-</w:t>
      </w:r>
      <w:r w:rsidR="00F01E51" w:rsidRPr="00AA600E">
        <w:rPr>
          <w:b/>
          <w:color w:val="auto"/>
          <w:sz w:val="28"/>
          <w:szCs w:val="28"/>
        </w:rPr>
        <w:t xml:space="preserve"> en </w:t>
      </w:r>
      <w:r w:rsidR="00AD0C86" w:rsidRPr="00AA600E">
        <w:rPr>
          <w:b/>
          <w:color w:val="auto"/>
          <w:sz w:val="28"/>
          <w:szCs w:val="28"/>
        </w:rPr>
        <w:t>D</w:t>
      </w:r>
      <w:r w:rsidR="00F01E51" w:rsidRPr="00AA600E">
        <w:rPr>
          <w:b/>
          <w:color w:val="auto"/>
          <w:sz w:val="28"/>
          <w:szCs w:val="28"/>
        </w:rPr>
        <w:t>GS</w:t>
      </w:r>
      <w:r w:rsidRPr="00AA600E">
        <w:rPr>
          <w:b/>
          <w:color w:val="auto"/>
          <w:sz w:val="28"/>
          <w:szCs w:val="28"/>
        </w:rPr>
        <w:t>)</w:t>
      </w:r>
    </w:p>
    <w:p w:rsidR="00B36DB2" w:rsidRDefault="00B36DB2" w:rsidP="00522E81">
      <w:pPr>
        <w:jc w:val="center"/>
      </w:pPr>
    </w:p>
    <w:p w:rsidR="002C1D91" w:rsidRDefault="002C1D91" w:rsidP="00522E81">
      <w:pPr>
        <w:jc w:val="center"/>
      </w:pPr>
    </w:p>
    <w:p w:rsidR="00B36DB2" w:rsidRDefault="002C1D91" w:rsidP="00522E81">
      <w:pPr>
        <w:jc w:val="center"/>
      </w:pPr>
      <w:r>
        <w:rPr>
          <w:noProof/>
          <w:lang w:eastAsia="es-SV"/>
        </w:rPr>
        <w:drawing>
          <wp:inline distT="0" distB="0" distL="0" distR="0" wp14:anchorId="4CEFAA93" wp14:editId="540FA519">
            <wp:extent cx="5809129" cy="4787153"/>
            <wp:effectExtent l="0" t="0" r="1270" b="1397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6DB2" w:rsidRDefault="00044DF6" w:rsidP="00763022">
      <w:pPr>
        <w:pStyle w:val="Ttulo2"/>
      </w:pPr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42956</wp:posOffset>
                </wp:positionH>
                <wp:positionV relativeFrom="paragraph">
                  <wp:posOffset>279101</wp:posOffset>
                </wp:positionV>
                <wp:extent cx="5746750" cy="676275"/>
                <wp:effectExtent l="19050" t="19050" r="2540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67627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63E" w:rsidRDefault="00EA063E" w:rsidP="002C2297">
                            <w:pPr>
                              <w:jc w:val="both"/>
                            </w:pPr>
                            <w:r w:rsidRPr="0086182F">
                              <w:rPr>
                                <w:sz w:val="24"/>
                                <w:szCs w:val="24"/>
                              </w:rPr>
                              <w:t xml:space="preserve">El gráfico de pastel muestra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el </w:t>
                            </w:r>
                            <w:r w:rsidR="00B36DB2">
                              <w:rPr>
                                <w:sz w:val="24"/>
                                <w:szCs w:val="24"/>
                              </w:rPr>
                              <w:t xml:space="preserve">número de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solicitudes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>recibidas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 por escrito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 durante el </w:t>
                            </w:r>
                            <w:r w:rsidR="00663C57">
                              <w:rPr>
                                <w:sz w:val="24"/>
                                <w:szCs w:val="24"/>
                              </w:rPr>
                              <w:t>1er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663C57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>rimestre de 202</w:t>
                            </w:r>
                            <w:r w:rsidR="00663C57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la Dirección de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>Gestión Social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. En promedio se han recibido </w:t>
                            </w:r>
                            <w:r w:rsidR="00663C57">
                              <w:rPr>
                                <w:sz w:val="24"/>
                                <w:szCs w:val="24"/>
                              </w:rPr>
                              <w:t xml:space="preserve">38 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>solicitudes mensuales.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.4pt;margin-top:22pt;width:452.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" fillcolor="white [3201]" strokecolor="#70ad47 [3209]" strokeweight="3pt">
                <v:textbox>
                  <w:txbxContent>
                    <w:p w:rsidR="00EA063E" w:rsidRDefault="00EA063E" w:rsidP="002C2297">
                      <w:pPr>
                        <w:jc w:val="both"/>
                      </w:pPr>
                      <w:r w:rsidRPr="0086182F">
                        <w:rPr>
                          <w:sz w:val="24"/>
                          <w:szCs w:val="24"/>
                        </w:rPr>
                        <w:t xml:space="preserve">El gráfico de pastel muestra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el </w:t>
                      </w:r>
                      <w:r w:rsidR="00B36DB2">
                        <w:rPr>
                          <w:sz w:val="24"/>
                          <w:szCs w:val="24"/>
                        </w:rPr>
                        <w:t xml:space="preserve">número de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solicitudes </w:t>
                      </w:r>
                      <w:r w:rsidRPr="0086182F">
                        <w:rPr>
                          <w:sz w:val="24"/>
                          <w:szCs w:val="24"/>
                        </w:rPr>
                        <w:t>recibidas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 por escrito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 durante el </w:t>
                      </w:r>
                      <w:r w:rsidR="00663C57">
                        <w:rPr>
                          <w:sz w:val="24"/>
                          <w:szCs w:val="24"/>
                        </w:rPr>
                        <w:t>1er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663C57">
                        <w:rPr>
                          <w:sz w:val="24"/>
                          <w:szCs w:val="24"/>
                        </w:rPr>
                        <w:t>t</w:t>
                      </w:r>
                      <w:r w:rsidR="00297123">
                        <w:rPr>
                          <w:sz w:val="24"/>
                          <w:szCs w:val="24"/>
                        </w:rPr>
                        <w:t>rimestre de 202</w:t>
                      </w:r>
                      <w:r w:rsidR="00663C57">
                        <w:rPr>
                          <w:sz w:val="24"/>
                          <w:szCs w:val="24"/>
                        </w:rPr>
                        <w:t>2</w:t>
                      </w:r>
                      <w:r w:rsidR="00024C26">
                        <w:rPr>
                          <w:sz w:val="24"/>
                          <w:szCs w:val="24"/>
                        </w:rPr>
                        <w:t>,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6182F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la Dirección de </w:t>
                      </w:r>
                      <w:r w:rsidRPr="0086182F">
                        <w:rPr>
                          <w:sz w:val="24"/>
                          <w:szCs w:val="24"/>
                        </w:rPr>
                        <w:t>Gestión Social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. En promedio se han recibido </w:t>
                      </w:r>
                      <w:r w:rsidR="00663C57">
                        <w:rPr>
                          <w:sz w:val="24"/>
                          <w:szCs w:val="24"/>
                        </w:rPr>
                        <w:t xml:space="preserve">38 </w:t>
                      </w:r>
                      <w:r w:rsidR="00297123">
                        <w:rPr>
                          <w:sz w:val="24"/>
                          <w:szCs w:val="24"/>
                        </w:rPr>
                        <w:t>solicitudes mensuales.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44DF6" w:rsidRDefault="00044DF6" w:rsidP="00522E81">
      <w:pPr>
        <w:jc w:val="center"/>
      </w:pPr>
    </w:p>
    <w:p w:rsidR="002C2297" w:rsidRDefault="002C2297" w:rsidP="00044DF6">
      <w:pPr>
        <w:jc w:val="center"/>
      </w:pPr>
      <w:r>
        <w:br w:type="page"/>
      </w:r>
    </w:p>
    <w:p w:rsidR="00AD0C86" w:rsidRDefault="00AD0C86"/>
    <w:p w:rsidR="002C1D91" w:rsidRDefault="002C1D91"/>
    <w:p w:rsidR="002C1D91" w:rsidRDefault="00044DF6">
      <w:r>
        <w:rPr>
          <w:noProof/>
          <w:lang w:eastAsia="es-SV"/>
        </w:rPr>
        <w:drawing>
          <wp:inline distT="0" distB="0" distL="0" distR="0" wp14:anchorId="208B7EFB" wp14:editId="22931803">
            <wp:extent cx="5861154" cy="3882390"/>
            <wp:effectExtent l="0" t="0" r="6350" b="381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1D91" w:rsidRDefault="002C1D91"/>
    <w:p w:rsidR="00AD0C86" w:rsidRDefault="00074E4D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29E502" wp14:editId="70437BC1">
                <wp:simplePos x="0" y="0"/>
                <wp:positionH relativeFrom="column">
                  <wp:posOffset>-15875</wp:posOffset>
                </wp:positionH>
                <wp:positionV relativeFrom="paragraph">
                  <wp:posOffset>297815</wp:posOffset>
                </wp:positionV>
                <wp:extent cx="6186805" cy="763905"/>
                <wp:effectExtent l="19050" t="19050" r="23495" b="1714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805" cy="76390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63E" w:rsidRPr="00A63F00" w:rsidRDefault="00663C57" w:rsidP="008543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El gráfico muestra la variación de solicitudes recibidas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po</w:t>
                            </w:r>
                            <w:r w:rsidR="00A63F00" w:rsidRPr="00A63F00">
                              <w:rPr>
                                <w:sz w:val="24"/>
                                <w:szCs w:val="24"/>
                              </w:rPr>
                              <w:t>r departamento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en los primeros tres meses del año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68017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San Salvador es el departamento </w:t>
                            </w:r>
                            <w:r w:rsidR="00763022">
                              <w:rPr>
                                <w:sz w:val="24"/>
                                <w:szCs w:val="24"/>
                              </w:rPr>
                              <w:t xml:space="preserve">con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más solicitudes </w:t>
                            </w:r>
                            <w:r w:rsidR="00763022">
                              <w:rPr>
                                <w:sz w:val="24"/>
                                <w:szCs w:val="24"/>
                              </w:rPr>
                              <w:t xml:space="preserve">de obra en </w:t>
                            </w:r>
                            <w:r w:rsidR="009E5D12">
                              <w:rPr>
                                <w:sz w:val="24"/>
                                <w:szCs w:val="24"/>
                              </w:rPr>
                              <w:t>el trimestre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>en el mes de febrero se recibieron más solicitudes de Santa Ana.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9E502" id="_x0000_s1027" type="#_x0000_t202" style="position:absolute;margin-left:-1.25pt;margin-top:23.45pt;width:487.15pt;height:6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" fillcolor="white [3201]" strokecolor="#70ad47 [3209]" strokeweight="3pt">
                <v:textbox>
                  <w:txbxContent>
                    <w:p w:rsidR="00EA063E" w:rsidRPr="00A63F00" w:rsidRDefault="00663C57" w:rsidP="008543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El gráfico muestra la variación de solicitudes recibidas </w:t>
                      </w:r>
                      <w:r w:rsidR="00024C26">
                        <w:rPr>
                          <w:sz w:val="24"/>
                          <w:szCs w:val="24"/>
                        </w:rPr>
                        <w:t>po</w:t>
                      </w:r>
                      <w:r w:rsidR="00A63F00" w:rsidRPr="00A63F00">
                        <w:rPr>
                          <w:sz w:val="24"/>
                          <w:szCs w:val="24"/>
                        </w:rPr>
                        <w:t>r departamento</w:t>
                      </w:r>
                      <w:r>
                        <w:rPr>
                          <w:sz w:val="24"/>
                          <w:szCs w:val="24"/>
                        </w:rPr>
                        <w:t xml:space="preserve">, en los primeros tres meses del año </w:t>
                      </w:r>
                      <w:r w:rsidR="00024C26">
                        <w:rPr>
                          <w:sz w:val="24"/>
                          <w:szCs w:val="24"/>
                        </w:rPr>
                        <w:t>20</w:t>
                      </w:r>
                      <w:r w:rsidR="008543F3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="00024C26">
                        <w:rPr>
                          <w:sz w:val="24"/>
                          <w:szCs w:val="24"/>
                        </w:rPr>
                        <w:t>.</w:t>
                      </w:r>
                      <w:r w:rsidR="0068017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San Salvador es el departamento </w:t>
                      </w:r>
                      <w:r w:rsidR="00763022">
                        <w:rPr>
                          <w:sz w:val="24"/>
                          <w:szCs w:val="24"/>
                        </w:rPr>
                        <w:t xml:space="preserve">con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más solicitudes </w:t>
                      </w:r>
                      <w:r w:rsidR="00763022">
                        <w:rPr>
                          <w:sz w:val="24"/>
                          <w:szCs w:val="24"/>
                        </w:rPr>
                        <w:t xml:space="preserve">de obra en </w:t>
                      </w:r>
                      <w:r w:rsidR="009E5D12">
                        <w:rPr>
                          <w:sz w:val="24"/>
                          <w:szCs w:val="24"/>
                        </w:rPr>
                        <w:t>el trimestre</w:t>
                      </w:r>
                      <w:r w:rsidR="008543F3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20358F">
                        <w:rPr>
                          <w:sz w:val="24"/>
                          <w:szCs w:val="24"/>
                        </w:rPr>
                        <w:t>en el mes de febrero se recibieron más solicitudes de Santa Ana.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3F00" w:rsidRDefault="008543F3">
      <w:r>
        <w:br w:type="page"/>
      </w:r>
    </w:p>
    <w:p w:rsidR="00554125" w:rsidRDefault="00554125"/>
    <w:p w:rsidR="00074E4D" w:rsidRDefault="00074E4D"/>
    <w:p w:rsidR="00074E4D" w:rsidRDefault="002C1D91">
      <w:r>
        <w:rPr>
          <w:noProof/>
          <w:lang w:eastAsia="es-SV"/>
        </w:rPr>
        <w:drawing>
          <wp:inline distT="0" distB="0" distL="0" distR="0" wp14:anchorId="6DB96488" wp14:editId="39E79E71">
            <wp:extent cx="5861154" cy="3926840"/>
            <wp:effectExtent l="0" t="0" r="6350" b="1651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24789" w:rsidRDefault="00680176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BDDAFD" wp14:editId="0F871692">
                <wp:simplePos x="0" y="0"/>
                <wp:positionH relativeFrom="column">
                  <wp:posOffset>8255</wp:posOffset>
                </wp:positionH>
                <wp:positionV relativeFrom="paragraph">
                  <wp:posOffset>618490</wp:posOffset>
                </wp:positionV>
                <wp:extent cx="5753100" cy="614680"/>
                <wp:effectExtent l="19050" t="19050" r="19050" b="1397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1468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297" w:rsidRDefault="002C2297" w:rsidP="009F34BA">
                            <w:pPr>
                              <w:jc w:val="both"/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el movimiento 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 xml:space="preserve">mensual recibido </w:t>
                            </w:r>
                            <w:r w:rsidRPr="00A63F00">
                              <w:rPr>
                                <w:sz w:val="24"/>
                                <w:szCs w:val="24"/>
                              </w:rPr>
                              <w:t>de solicitudes de obra</w:t>
                            </w:r>
                            <w:r w:rsidR="009F34BA">
                              <w:rPr>
                                <w:sz w:val="24"/>
                                <w:szCs w:val="24"/>
                              </w:rPr>
                              <w:t xml:space="preserve"> por escrito, </w:t>
                            </w:r>
                            <w:r w:rsidR="00FB1904">
                              <w:rPr>
                                <w:sz w:val="24"/>
                                <w:szCs w:val="24"/>
                              </w:rPr>
                              <w:t>y el acumulado en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 xml:space="preserve"> el primer trimestre de 2022</w:t>
                            </w:r>
                            <w:r w:rsidR="00ED1E7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DDAFD" id="_x0000_s1028" type="#_x0000_t202" style="position:absolute;margin-left:.65pt;margin-top:48.7pt;width:453pt;height:4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" fillcolor="white [3201]" strokecolor="#538135 [2409]" strokeweight="3pt">
                <v:textbox>
                  <w:txbxContent>
                    <w:p w:rsidR="002C2297" w:rsidRDefault="002C2297" w:rsidP="009F34BA">
                      <w:pPr>
                        <w:jc w:val="both"/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el movimiento </w:t>
                      </w:r>
                      <w:r w:rsidR="0020358F">
                        <w:rPr>
                          <w:sz w:val="24"/>
                          <w:szCs w:val="24"/>
                        </w:rPr>
                        <w:t xml:space="preserve">mensual recibido </w:t>
                      </w:r>
                      <w:r w:rsidRPr="00A63F00">
                        <w:rPr>
                          <w:sz w:val="24"/>
                          <w:szCs w:val="24"/>
                        </w:rPr>
                        <w:t>de solicitudes de obra</w:t>
                      </w:r>
                      <w:r w:rsidR="009F34BA">
                        <w:rPr>
                          <w:sz w:val="24"/>
                          <w:szCs w:val="24"/>
                        </w:rPr>
                        <w:t xml:space="preserve"> por escrito, </w:t>
                      </w:r>
                      <w:r w:rsidR="00FB1904">
                        <w:rPr>
                          <w:sz w:val="24"/>
                          <w:szCs w:val="24"/>
                        </w:rPr>
                        <w:t>y el acumulado en</w:t>
                      </w:r>
                      <w:r w:rsidR="0020358F">
                        <w:rPr>
                          <w:sz w:val="24"/>
                          <w:szCs w:val="24"/>
                        </w:rPr>
                        <w:t xml:space="preserve"> el primer trimestre de 2022</w:t>
                      </w:r>
                      <w:r w:rsidR="00ED1E7B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4E4D" w:rsidRDefault="00074E4D"/>
    <w:p w:rsidR="00074E4D" w:rsidRDefault="00074E4D"/>
    <w:p w:rsidR="00A24789" w:rsidRDefault="00A24789"/>
    <w:p w:rsidR="00F86945" w:rsidRDefault="00F86945"/>
    <w:p w:rsidR="00241F87" w:rsidRDefault="00241F87">
      <w:r>
        <w:br w:type="page"/>
      </w:r>
    </w:p>
    <w:p w:rsidR="00554125" w:rsidRDefault="00554125"/>
    <w:p w:rsidR="00241F87" w:rsidRDefault="00241F87"/>
    <w:p w:rsidR="00241F87" w:rsidRDefault="002C1D91">
      <w:r>
        <w:rPr>
          <w:noProof/>
          <w:lang w:eastAsia="es-SV"/>
        </w:rPr>
        <w:drawing>
          <wp:inline distT="0" distB="0" distL="0" distR="0" wp14:anchorId="2A29AE59" wp14:editId="065FB4C2">
            <wp:extent cx="6026046" cy="3687445"/>
            <wp:effectExtent l="0" t="0" r="13335" b="825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41F87" w:rsidRDefault="00241F87"/>
    <w:p w:rsidR="00241F87" w:rsidRDefault="00241F87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275889" wp14:editId="4F7C4DB2">
                <wp:simplePos x="0" y="0"/>
                <wp:positionH relativeFrom="column">
                  <wp:posOffset>-1270</wp:posOffset>
                </wp:positionH>
                <wp:positionV relativeFrom="paragraph">
                  <wp:posOffset>337820</wp:posOffset>
                </wp:positionV>
                <wp:extent cx="5875655" cy="914400"/>
                <wp:effectExtent l="19050" t="19050" r="10795" b="1905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41F87" w:rsidRDefault="00241F87" w:rsidP="00241F87">
                            <w:pPr>
                              <w:jc w:val="both"/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</w:t>
                            </w:r>
                            <w:r w:rsidR="00CD7A9B">
                              <w:rPr>
                                <w:sz w:val="24"/>
                                <w:szCs w:val="24"/>
                              </w:rPr>
                              <w:t>la competencia de la obra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 xml:space="preserve"> pública solicitada</w:t>
                            </w:r>
                            <w:r w:rsidR="00CD7A9B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CD7A9B">
                              <w:rPr>
                                <w:sz w:val="24"/>
                                <w:szCs w:val="24"/>
                              </w:rPr>
                              <w:t>as solicitudes de competencia municipal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 xml:space="preserve"> -  en muchas ocasiones son peticiones desde los mismos ediles</w:t>
                            </w:r>
                            <w:r w:rsidR="00221D57">
                              <w:rPr>
                                <w:sz w:val="24"/>
                                <w:szCs w:val="24"/>
                              </w:rPr>
                              <w:t>. E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 xml:space="preserve">n la categoría de GOES se han agrupado aquellas solicitudes de infraestructura </w:t>
                            </w:r>
                            <w:r w:rsidR="00221D57">
                              <w:rPr>
                                <w:sz w:val="24"/>
                                <w:szCs w:val="24"/>
                              </w:rPr>
                              <w:t xml:space="preserve">realizada 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="00221D57">
                              <w:rPr>
                                <w:sz w:val="24"/>
                                <w:szCs w:val="24"/>
                              </w:rPr>
                              <w:t>sde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 xml:space="preserve"> otros ministerios.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7588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.1pt;margin-top:26.6pt;width:462.65pt;height:1in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" fillcolor="window" strokecolor="#548235" strokeweight="3pt">
                <v:textbox>
                  <w:txbxContent>
                    <w:p w:rsidR="00241F87" w:rsidRDefault="00241F87" w:rsidP="00241F87">
                      <w:pPr>
                        <w:jc w:val="both"/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</w:t>
                      </w:r>
                      <w:r w:rsidR="00CD7A9B">
                        <w:rPr>
                          <w:sz w:val="24"/>
                          <w:szCs w:val="24"/>
                        </w:rPr>
                        <w:t>la competencia de la obra</w:t>
                      </w:r>
                      <w:r w:rsidR="0020358F">
                        <w:rPr>
                          <w:sz w:val="24"/>
                          <w:szCs w:val="24"/>
                        </w:rPr>
                        <w:t xml:space="preserve"> pública solicitada</w:t>
                      </w:r>
                      <w:r w:rsidR="00CD7A9B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20358F">
                        <w:rPr>
                          <w:sz w:val="24"/>
                          <w:szCs w:val="24"/>
                        </w:rPr>
                        <w:t>l</w:t>
                      </w:r>
                      <w:r w:rsidR="00CD7A9B">
                        <w:rPr>
                          <w:sz w:val="24"/>
                          <w:szCs w:val="24"/>
                        </w:rPr>
                        <w:t>as solicitudes de competencia municipal</w:t>
                      </w:r>
                      <w:r w:rsidR="0020358F">
                        <w:rPr>
                          <w:sz w:val="24"/>
                          <w:szCs w:val="24"/>
                        </w:rPr>
                        <w:t xml:space="preserve"> -  en muchas ocasiones son peticiones desde los mismos ediles</w:t>
                      </w:r>
                      <w:r w:rsidR="00221D57">
                        <w:rPr>
                          <w:sz w:val="24"/>
                          <w:szCs w:val="24"/>
                        </w:rPr>
                        <w:t>. E</w:t>
                      </w:r>
                      <w:r w:rsidR="0020358F">
                        <w:rPr>
                          <w:sz w:val="24"/>
                          <w:szCs w:val="24"/>
                        </w:rPr>
                        <w:t xml:space="preserve">n la categoría de GOES se han agrupado aquellas solicitudes de infraestructura </w:t>
                      </w:r>
                      <w:r w:rsidR="00221D57">
                        <w:rPr>
                          <w:sz w:val="24"/>
                          <w:szCs w:val="24"/>
                        </w:rPr>
                        <w:t xml:space="preserve">realizada </w:t>
                      </w:r>
                      <w:r w:rsidR="0020358F">
                        <w:rPr>
                          <w:sz w:val="24"/>
                          <w:szCs w:val="24"/>
                        </w:rPr>
                        <w:t>de</w:t>
                      </w:r>
                      <w:r w:rsidR="00221D57">
                        <w:rPr>
                          <w:sz w:val="24"/>
                          <w:szCs w:val="24"/>
                        </w:rPr>
                        <w:t>sde</w:t>
                      </w:r>
                      <w:r w:rsidR="0020358F">
                        <w:rPr>
                          <w:sz w:val="24"/>
                          <w:szCs w:val="24"/>
                        </w:rPr>
                        <w:t xml:space="preserve"> otros ministerios.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1F87" w:rsidRDefault="00241F87"/>
    <w:p w:rsidR="00241F87" w:rsidRDefault="00241F87"/>
    <w:p w:rsidR="00241F87" w:rsidRDefault="00241F87">
      <w:r>
        <w:br w:type="page"/>
      </w:r>
    </w:p>
    <w:p w:rsidR="00241F87" w:rsidRDefault="00241F87"/>
    <w:p w:rsidR="00241F87" w:rsidRDefault="002C1D91">
      <w:r>
        <w:rPr>
          <w:noProof/>
          <w:lang w:eastAsia="es-SV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220980</wp:posOffset>
            </wp:positionV>
            <wp:extent cx="5266055" cy="2751455"/>
            <wp:effectExtent l="0" t="0" r="10795" b="10795"/>
            <wp:wrapSquare wrapText="bothSides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F87" w:rsidRDefault="00241F87"/>
    <w:p w:rsidR="00241F87" w:rsidRDefault="00221D57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B275889" wp14:editId="4F7C4DB2">
                <wp:simplePos x="0" y="0"/>
                <wp:positionH relativeFrom="column">
                  <wp:posOffset>335280</wp:posOffset>
                </wp:positionH>
                <wp:positionV relativeFrom="paragraph">
                  <wp:posOffset>284480</wp:posOffset>
                </wp:positionV>
                <wp:extent cx="5196205" cy="527050"/>
                <wp:effectExtent l="19050" t="19050" r="23495" b="2540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6205" cy="52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7A9B" w:rsidRDefault="00CE49F5" w:rsidP="00CD7A9B">
                            <w:pPr>
                              <w:jc w:val="both"/>
                            </w:pPr>
                            <w:r>
                              <w:t>El gráfico muestra la zona de donde proviene la solicitud de obra pública, prevaleciendo la demanda de intervención en zonas urbanas.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75889" id="_x0000_s1030" type="#_x0000_t202" style="position:absolute;margin-left:26.4pt;margin-top:22.4pt;width:409.15pt;height:4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" fillcolor="window" strokecolor="#548235" strokeweight="3pt">
                <v:textbox>
                  <w:txbxContent>
                    <w:p w:rsidR="00CD7A9B" w:rsidRDefault="00CE49F5" w:rsidP="00CD7A9B">
                      <w:pPr>
                        <w:jc w:val="both"/>
                      </w:pPr>
                      <w:r>
                        <w:t>El gráfico muestra la zona de donde proviene la solicitud de obra pública, prevaleciendo la demanda de intervención en zonas urbanas.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1F87" w:rsidRDefault="00241F87"/>
    <w:p w:rsidR="002C1D91" w:rsidRDefault="002C1D91"/>
    <w:p w:rsidR="002C1D91" w:rsidRDefault="002C1D91"/>
    <w:p w:rsidR="002C1D91" w:rsidRDefault="002C1D91"/>
    <w:p w:rsidR="002C1D91" w:rsidRDefault="002C1D91"/>
    <w:p w:rsidR="002C1D91" w:rsidRDefault="002C1D91"/>
    <w:p w:rsidR="002C1D91" w:rsidRDefault="002C1D91"/>
    <w:p w:rsidR="002C1D91" w:rsidRDefault="002C1D91"/>
    <w:p w:rsidR="00241F87" w:rsidRDefault="00241F87"/>
    <w:p w:rsidR="00241F87" w:rsidRDefault="00241F87"/>
    <w:p w:rsidR="002C1D91" w:rsidRDefault="002C1D91">
      <w:r>
        <w:br w:type="page"/>
      </w:r>
    </w:p>
    <w:p w:rsidR="002C1D91" w:rsidRDefault="002C1D91"/>
    <w:p w:rsidR="00221D57" w:rsidRDefault="00221D57"/>
    <w:p w:rsidR="002C1D91" w:rsidRDefault="002C1D91">
      <w:r>
        <w:rPr>
          <w:noProof/>
          <w:lang w:eastAsia="es-SV"/>
        </w:rPr>
        <w:drawing>
          <wp:inline distT="0" distB="0" distL="0" distR="0" wp14:anchorId="2AF7F69F" wp14:editId="3CF7CCB5">
            <wp:extent cx="5905500" cy="3513944"/>
            <wp:effectExtent l="0" t="0" r="0" b="10795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C1D91" w:rsidRDefault="00577945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8E30DBB" wp14:editId="3992AAC2">
                <wp:simplePos x="0" y="0"/>
                <wp:positionH relativeFrom="column">
                  <wp:posOffset>1270</wp:posOffset>
                </wp:positionH>
                <wp:positionV relativeFrom="paragraph">
                  <wp:posOffset>419735</wp:posOffset>
                </wp:positionV>
                <wp:extent cx="5905500" cy="861060"/>
                <wp:effectExtent l="19050" t="19050" r="19050" b="1524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61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C1D91" w:rsidRDefault="00CE49F5" w:rsidP="002C1D91">
                            <w:pPr>
                              <w:jc w:val="both"/>
                            </w:pPr>
                            <w:r>
                              <w:t xml:space="preserve">El gráfico muestra el porcentaje de mujeres y hombres que son firmantes de la </w:t>
                            </w:r>
                            <w:r w:rsidR="00221D57">
                              <w:t xml:space="preserve">solicitud </w:t>
                            </w:r>
                            <w:r>
                              <w:t xml:space="preserve">de obra pública, manteniéndose mensualmente un porcentaje no menor de </w:t>
                            </w:r>
                            <w:r w:rsidR="00221D57">
                              <w:t>30</w:t>
                            </w:r>
                            <w:r>
                              <w:t xml:space="preserve">% de mujeres, </w:t>
                            </w:r>
                            <w:r w:rsidR="00221D57">
                              <w:t xml:space="preserve">indicador </w:t>
                            </w:r>
                            <w:r>
                              <w:t xml:space="preserve">que podría indicar que </w:t>
                            </w:r>
                            <w:r w:rsidR="00221D57">
                              <w:t xml:space="preserve">las mujeres </w:t>
                            </w:r>
                            <w:r>
                              <w:t>están organizadas y gestionando mejora de calidad de vida de sus comunidades.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30DBB" id="_x0000_s1031" type="#_x0000_t202" style="position:absolute;margin-left:.1pt;margin-top:33.05pt;width:465pt;height:67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" fillcolor="window" strokecolor="#548235" strokeweight="3pt">
                <v:textbox>
                  <w:txbxContent>
                    <w:p w:rsidR="002C1D91" w:rsidRDefault="00CE49F5" w:rsidP="002C1D91">
                      <w:pPr>
                        <w:jc w:val="both"/>
                      </w:pPr>
                      <w:r>
                        <w:t xml:space="preserve">El gráfico muestra el porcentaje de mujeres y hombres que son firmantes de la </w:t>
                      </w:r>
                      <w:r w:rsidR="00221D57">
                        <w:t xml:space="preserve">solicitud </w:t>
                      </w:r>
                      <w:r>
                        <w:t xml:space="preserve">de obra pública, manteniéndose mensualmente un porcentaje no menor de </w:t>
                      </w:r>
                      <w:r w:rsidR="00221D57">
                        <w:t>30</w:t>
                      </w:r>
                      <w:r>
                        <w:t xml:space="preserve">% de mujeres, </w:t>
                      </w:r>
                      <w:r w:rsidR="00221D57">
                        <w:t xml:space="preserve">indicador </w:t>
                      </w:r>
                      <w:r>
                        <w:t xml:space="preserve">que podría indicar que </w:t>
                      </w:r>
                      <w:r w:rsidR="00221D57">
                        <w:t xml:space="preserve">las mujeres </w:t>
                      </w:r>
                      <w:r>
                        <w:t>están organizadas y gestionando mejora de calidad de vida de sus comunidades.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1D91" w:rsidRDefault="002C1D91" w:rsidP="002C1D91"/>
    <w:p w:rsidR="00577945" w:rsidRDefault="00577945" w:rsidP="002C1D91"/>
    <w:p w:rsidR="002C1D91" w:rsidRDefault="002C1D91" w:rsidP="002C1D91">
      <w:r>
        <w:br w:type="page"/>
      </w:r>
    </w:p>
    <w:p w:rsidR="002C1D91" w:rsidRDefault="002C1D91"/>
    <w:p w:rsidR="00241F87" w:rsidRDefault="00953019">
      <w:r>
        <w:rPr>
          <w:noProof/>
          <w:lang w:eastAsia="es-SV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273734</wp:posOffset>
            </wp:positionV>
            <wp:extent cx="5222875" cy="3476625"/>
            <wp:effectExtent l="0" t="0" r="15875" b="9525"/>
            <wp:wrapSquare wrapText="bothSides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2C1D91" w:rsidRDefault="002C1D91"/>
    <w:p w:rsidR="002C1D91" w:rsidRDefault="002C1D91"/>
    <w:p w:rsidR="00953019" w:rsidRDefault="00953019"/>
    <w:p w:rsidR="00953019" w:rsidRDefault="00953019"/>
    <w:p w:rsidR="00953019" w:rsidRDefault="00953019"/>
    <w:p w:rsidR="00953019" w:rsidRDefault="00953019"/>
    <w:p w:rsidR="00953019" w:rsidRDefault="00953019"/>
    <w:p w:rsidR="00953019" w:rsidRDefault="00953019"/>
    <w:p w:rsidR="00953019" w:rsidRDefault="00953019"/>
    <w:p w:rsidR="00953019" w:rsidRDefault="00953019"/>
    <w:p w:rsidR="00953019" w:rsidRDefault="00953019"/>
    <w:p w:rsidR="00953019" w:rsidRDefault="00953019"/>
    <w:p w:rsidR="00953019" w:rsidRDefault="00953019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89A7A47" wp14:editId="2951AAC5">
                <wp:simplePos x="0" y="0"/>
                <wp:positionH relativeFrom="column">
                  <wp:posOffset>344170</wp:posOffset>
                </wp:positionH>
                <wp:positionV relativeFrom="paragraph">
                  <wp:posOffset>332740</wp:posOffset>
                </wp:positionV>
                <wp:extent cx="5222875" cy="514350"/>
                <wp:effectExtent l="19050" t="19050" r="15875" b="1905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28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C1D91" w:rsidRDefault="00CE49F5" w:rsidP="002C1D91">
                            <w:pPr>
                              <w:jc w:val="both"/>
                            </w:pPr>
                            <w:r>
                              <w:t xml:space="preserve">El gráfico muestra </w:t>
                            </w:r>
                            <w:r w:rsidR="00920D99">
                              <w:t>de que organización o institución están solicitando la obra pública, siendo en su gran mayoría las ADESCOS las mayores demandantes.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A7A47" id="_x0000_s1032" type="#_x0000_t202" style="position:absolute;margin-left:27.1pt;margin-top:26.2pt;width:411.25pt;height:4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" fillcolor="window" strokecolor="#548235" strokeweight="3pt">
                <v:textbox>
                  <w:txbxContent>
                    <w:p w:rsidR="002C1D91" w:rsidRDefault="00CE49F5" w:rsidP="002C1D91">
                      <w:pPr>
                        <w:jc w:val="both"/>
                      </w:pPr>
                      <w:r>
                        <w:t xml:space="preserve">El gráfico muestra </w:t>
                      </w:r>
                      <w:r w:rsidR="00920D99">
                        <w:t>de que organización o institución están solicitando la obra pública, siendo en su gran mayoría las ADESCOS las mayores demandantes.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1D91" w:rsidRDefault="002C1D91"/>
    <w:p w:rsidR="002C1D91" w:rsidRDefault="002C1D91"/>
    <w:p w:rsidR="00920D99" w:rsidRDefault="00920D99"/>
    <w:p w:rsidR="00920D99" w:rsidRDefault="00920D99">
      <w:r>
        <w:br w:type="page"/>
      </w:r>
    </w:p>
    <w:p w:rsidR="00920D99" w:rsidRDefault="00920D99"/>
    <w:p w:rsidR="00920D99" w:rsidRDefault="00920D99"/>
    <w:p w:rsidR="00920D99" w:rsidRPr="00796D1D" w:rsidRDefault="00044DF6">
      <w:pPr>
        <w:rPr>
          <w14:props3d w14:extrusionH="57150" w14:contourW="0" w14:prstMaterial="warmMatte">
            <w14:bevelT w14:w="38100" w14:h="38100" w14:prst="convex"/>
          </w14:props3d>
        </w:rPr>
      </w:pPr>
      <w:r>
        <w:rPr>
          <w:noProof/>
          <w:lang w:eastAsia="es-SV"/>
        </w:rPr>
        <w:drawing>
          <wp:inline distT="0" distB="0" distL="0" distR="0" wp14:anchorId="34A3149A" wp14:editId="721ADEDA">
            <wp:extent cx="5753100" cy="4347148"/>
            <wp:effectExtent l="0" t="0" r="0" b="15875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20D99" w:rsidRDefault="00953019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F167206" wp14:editId="3B210049">
                <wp:simplePos x="0" y="0"/>
                <wp:positionH relativeFrom="column">
                  <wp:posOffset>317500</wp:posOffset>
                </wp:positionH>
                <wp:positionV relativeFrom="paragraph">
                  <wp:posOffset>381293</wp:posOffset>
                </wp:positionV>
                <wp:extent cx="5283835" cy="514350"/>
                <wp:effectExtent l="19050" t="19050" r="12065" b="1905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20D99" w:rsidRDefault="00920D99" w:rsidP="00920D99">
                            <w:pPr>
                              <w:jc w:val="both"/>
                            </w:pPr>
                            <w:r>
                              <w:t xml:space="preserve">El gráfico muestra </w:t>
                            </w:r>
                            <w:r w:rsidR="00044DF6">
                              <w:t xml:space="preserve">los tipos de obra más solicitadas: que básicamente son la pavimentación ó bacheo de calles, y </w:t>
                            </w:r>
                            <w:r w:rsidR="00953019">
                              <w:t xml:space="preserve">en tercera línea son las </w:t>
                            </w:r>
                            <w:bookmarkStart w:id="0" w:name="_GoBack"/>
                            <w:bookmarkEnd w:id="0"/>
                            <w:r w:rsidR="00044DF6">
                              <w:t>obras de mitigación en lugares de riesgo.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67206" id="_x0000_s1033" type="#_x0000_t202" style="position:absolute;margin-left:25pt;margin-top:30pt;width:416.05pt;height:40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" fillcolor="window" strokecolor="#548235" strokeweight="3pt">
                <v:textbox>
                  <w:txbxContent>
                    <w:p w:rsidR="00920D99" w:rsidRDefault="00920D99" w:rsidP="00920D99">
                      <w:pPr>
                        <w:jc w:val="both"/>
                      </w:pPr>
                      <w:r>
                        <w:t xml:space="preserve">El gráfico muestra </w:t>
                      </w:r>
                      <w:r w:rsidR="00044DF6">
                        <w:t xml:space="preserve">los tipos de obra más solicitadas: que básicamente son la pavimentación ó bacheo de calles, y </w:t>
                      </w:r>
                      <w:r w:rsidR="00953019">
                        <w:t xml:space="preserve">en tercera línea son las </w:t>
                      </w:r>
                      <w:bookmarkStart w:id="1" w:name="_GoBack"/>
                      <w:bookmarkEnd w:id="1"/>
                      <w:r w:rsidR="00044DF6">
                        <w:t>obras de mitigación en lugares de riesgo.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0D99" w:rsidRDefault="00920D99"/>
    <w:sectPr w:rsidR="00920D99" w:rsidSect="00074E4D">
      <w:headerReference w:type="default" r:id="rId15"/>
      <w:footerReference w:type="default" r:id="rId16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A34" w:rsidRDefault="003B7A34" w:rsidP="00496A48">
      <w:pPr>
        <w:spacing w:after="0" w:line="240" w:lineRule="auto"/>
      </w:pPr>
      <w:r>
        <w:separator/>
      </w:r>
    </w:p>
  </w:endnote>
  <w:endnote w:type="continuationSeparator" w:id="0">
    <w:p w:rsidR="003B7A34" w:rsidRDefault="003B7A34" w:rsidP="004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95168"/>
      <w:docPartObj>
        <w:docPartGallery w:val="Page Numbers (Bottom of Page)"/>
        <w:docPartUnique/>
      </w:docPartObj>
    </w:sdtPr>
    <w:sdtEndPr/>
    <w:sdtContent>
      <w:p w:rsidR="00EC659B" w:rsidRDefault="00EC65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07E" w:rsidRPr="0086207E">
          <w:rPr>
            <w:noProof/>
            <w:lang w:val="es-ES"/>
          </w:rPr>
          <w:t>7</w:t>
        </w:r>
        <w:r>
          <w:fldChar w:fldCharType="end"/>
        </w:r>
      </w:p>
    </w:sdtContent>
  </w:sdt>
  <w:p w:rsidR="00EC659B" w:rsidRDefault="00EC6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A34" w:rsidRDefault="003B7A34" w:rsidP="00496A48">
      <w:pPr>
        <w:spacing w:after="0" w:line="240" w:lineRule="auto"/>
      </w:pPr>
      <w:r>
        <w:separator/>
      </w:r>
    </w:p>
  </w:footnote>
  <w:footnote w:type="continuationSeparator" w:id="0">
    <w:p w:rsidR="003B7A34" w:rsidRDefault="003B7A34" w:rsidP="004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8" w:rsidRDefault="00074E4D" w:rsidP="00BA06D6">
    <w:pPr>
      <w:pStyle w:val="Encabezado"/>
      <w:tabs>
        <w:tab w:val="clear" w:pos="4419"/>
        <w:tab w:val="clear" w:pos="8838"/>
        <w:tab w:val="left" w:pos="5094"/>
      </w:tabs>
    </w:pPr>
    <w:r>
      <w:rPr>
        <w:noProof/>
        <w:color w:val="000000"/>
        <w:lang w:eastAsia="es-SV"/>
      </w:rPr>
      <w:drawing>
        <wp:anchor distT="0" distB="0" distL="0" distR="0" simplePos="0" relativeHeight="251659264" behindDoc="0" locked="0" layoutInCell="1" hidden="0" allowOverlap="1" wp14:anchorId="0B61C56A" wp14:editId="40DF3AC4">
          <wp:simplePos x="0" y="0"/>
          <wp:positionH relativeFrom="margin">
            <wp:posOffset>1457325</wp:posOffset>
          </wp:positionH>
          <wp:positionV relativeFrom="topMargin">
            <wp:posOffset>1270</wp:posOffset>
          </wp:positionV>
          <wp:extent cx="2235600" cy="896400"/>
          <wp:effectExtent l="0" t="0" r="0" b="0"/>
          <wp:wrapSquare wrapText="bothSides" distT="0" distB="0" distL="0" distR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600" cy="89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1"/>
    <w:rsid w:val="0000004D"/>
    <w:rsid w:val="00024C26"/>
    <w:rsid w:val="0002772A"/>
    <w:rsid w:val="00044DF6"/>
    <w:rsid w:val="00045853"/>
    <w:rsid w:val="0005284A"/>
    <w:rsid w:val="00074E4D"/>
    <w:rsid w:val="00080CA4"/>
    <w:rsid w:val="000A0D2B"/>
    <w:rsid w:val="000B62CB"/>
    <w:rsid w:val="000C429E"/>
    <w:rsid w:val="000D0114"/>
    <w:rsid w:val="000D297B"/>
    <w:rsid w:val="000E2C0F"/>
    <w:rsid w:val="000E7C9D"/>
    <w:rsid w:val="000F0C27"/>
    <w:rsid w:val="0010130F"/>
    <w:rsid w:val="0010262D"/>
    <w:rsid w:val="00142736"/>
    <w:rsid w:val="00173FCD"/>
    <w:rsid w:val="00183A77"/>
    <w:rsid w:val="0019471E"/>
    <w:rsid w:val="001A167B"/>
    <w:rsid w:val="001A62DB"/>
    <w:rsid w:val="001B2446"/>
    <w:rsid w:val="001B2898"/>
    <w:rsid w:val="001C3CEF"/>
    <w:rsid w:val="001D35AE"/>
    <w:rsid w:val="002012D8"/>
    <w:rsid w:val="0020358F"/>
    <w:rsid w:val="00221D57"/>
    <w:rsid w:val="00225372"/>
    <w:rsid w:val="00241F87"/>
    <w:rsid w:val="0026366D"/>
    <w:rsid w:val="002679C9"/>
    <w:rsid w:val="00297123"/>
    <w:rsid w:val="002A30CE"/>
    <w:rsid w:val="002C1D91"/>
    <w:rsid w:val="002C2297"/>
    <w:rsid w:val="0031702D"/>
    <w:rsid w:val="003269A3"/>
    <w:rsid w:val="00351D16"/>
    <w:rsid w:val="00352FA4"/>
    <w:rsid w:val="00356CF6"/>
    <w:rsid w:val="003707CA"/>
    <w:rsid w:val="00375231"/>
    <w:rsid w:val="00377E97"/>
    <w:rsid w:val="00380789"/>
    <w:rsid w:val="0039075F"/>
    <w:rsid w:val="00396EBF"/>
    <w:rsid w:val="003B7A34"/>
    <w:rsid w:val="003E2109"/>
    <w:rsid w:val="003F0430"/>
    <w:rsid w:val="003F53BB"/>
    <w:rsid w:val="00401C19"/>
    <w:rsid w:val="00410DC0"/>
    <w:rsid w:val="00412CD6"/>
    <w:rsid w:val="00426F5F"/>
    <w:rsid w:val="004274DD"/>
    <w:rsid w:val="00461AA3"/>
    <w:rsid w:val="00481FAB"/>
    <w:rsid w:val="00493B94"/>
    <w:rsid w:val="00496A48"/>
    <w:rsid w:val="004B4A21"/>
    <w:rsid w:val="004C3084"/>
    <w:rsid w:val="004E195A"/>
    <w:rsid w:val="004E2069"/>
    <w:rsid w:val="004F0C2E"/>
    <w:rsid w:val="004F3A6A"/>
    <w:rsid w:val="004F74E6"/>
    <w:rsid w:val="00501ECE"/>
    <w:rsid w:val="00511C94"/>
    <w:rsid w:val="00522E81"/>
    <w:rsid w:val="00524D06"/>
    <w:rsid w:val="00545A32"/>
    <w:rsid w:val="00554125"/>
    <w:rsid w:val="00570D2B"/>
    <w:rsid w:val="00577945"/>
    <w:rsid w:val="00587943"/>
    <w:rsid w:val="005C36D8"/>
    <w:rsid w:val="005D5D9D"/>
    <w:rsid w:val="005D6B84"/>
    <w:rsid w:val="005E1D8E"/>
    <w:rsid w:val="005F246B"/>
    <w:rsid w:val="00615756"/>
    <w:rsid w:val="0062144F"/>
    <w:rsid w:val="00635676"/>
    <w:rsid w:val="00653B1F"/>
    <w:rsid w:val="0065734E"/>
    <w:rsid w:val="00663C57"/>
    <w:rsid w:val="00680176"/>
    <w:rsid w:val="006A2C19"/>
    <w:rsid w:val="006B2DF2"/>
    <w:rsid w:val="006C4E50"/>
    <w:rsid w:val="00700887"/>
    <w:rsid w:val="007353FE"/>
    <w:rsid w:val="00763022"/>
    <w:rsid w:val="00776B5C"/>
    <w:rsid w:val="00796D1D"/>
    <w:rsid w:val="007A0B81"/>
    <w:rsid w:val="007B6C61"/>
    <w:rsid w:val="007C51E5"/>
    <w:rsid w:val="007D02A4"/>
    <w:rsid w:val="00820910"/>
    <w:rsid w:val="008543F3"/>
    <w:rsid w:val="0086182F"/>
    <w:rsid w:val="0086207E"/>
    <w:rsid w:val="008A08FB"/>
    <w:rsid w:val="008B4789"/>
    <w:rsid w:val="008D5838"/>
    <w:rsid w:val="008E026A"/>
    <w:rsid w:val="008E766E"/>
    <w:rsid w:val="00905AF2"/>
    <w:rsid w:val="00920D99"/>
    <w:rsid w:val="0092250C"/>
    <w:rsid w:val="00953019"/>
    <w:rsid w:val="0096022B"/>
    <w:rsid w:val="00983F99"/>
    <w:rsid w:val="009870A2"/>
    <w:rsid w:val="009A2AF3"/>
    <w:rsid w:val="009B2694"/>
    <w:rsid w:val="009C258D"/>
    <w:rsid w:val="009C3577"/>
    <w:rsid w:val="009C45F5"/>
    <w:rsid w:val="009E5D12"/>
    <w:rsid w:val="009F34BA"/>
    <w:rsid w:val="00A24789"/>
    <w:rsid w:val="00A53151"/>
    <w:rsid w:val="00A546B7"/>
    <w:rsid w:val="00A63F00"/>
    <w:rsid w:val="00A71598"/>
    <w:rsid w:val="00A7666C"/>
    <w:rsid w:val="00A7789B"/>
    <w:rsid w:val="00AA600E"/>
    <w:rsid w:val="00AD0C86"/>
    <w:rsid w:val="00AD686F"/>
    <w:rsid w:val="00B321F2"/>
    <w:rsid w:val="00B36DB2"/>
    <w:rsid w:val="00B41388"/>
    <w:rsid w:val="00B60C7A"/>
    <w:rsid w:val="00B804B4"/>
    <w:rsid w:val="00B9657B"/>
    <w:rsid w:val="00BA06D6"/>
    <w:rsid w:val="00BC084A"/>
    <w:rsid w:val="00BE2146"/>
    <w:rsid w:val="00C1091C"/>
    <w:rsid w:val="00C121DB"/>
    <w:rsid w:val="00C41970"/>
    <w:rsid w:val="00C43EDA"/>
    <w:rsid w:val="00C46AC8"/>
    <w:rsid w:val="00C53A9E"/>
    <w:rsid w:val="00C70EC4"/>
    <w:rsid w:val="00C8193C"/>
    <w:rsid w:val="00C82234"/>
    <w:rsid w:val="00C97602"/>
    <w:rsid w:val="00CB5EC8"/>
    <w:rsid w:val="00CC208B"/>
    <w:rsid w:val="00CC6887"/>
    <w:rsid w:val="00CD237D"/>
    <w:rsid w:val="00CD57D9"/>
    <w:rsid w:val="00CD7A9B"/>
    <w:rsid w:val="00CE2B6D"/>
    <w:rsid w:val="00CE49F5"/>
    <w:rsid w:val="00D016CA"/>
    <w:rsid w:val="00D37005"/>
    <w:rsid w:val="00D37EC8"/>
    <w:rsid w:val="00D51D3E"/>
    <w:rsid w:val="00D916D8"/>
    <w:rsid w:val="00D96DBC"/>
    <w:rsid w:val="00E06AD6"/>
    <w:rsid w:val="00E16C25"/>
    <w:rsid w:val="00E30AC0"/>
    <w:rsid w:val="00E76A52"/>
    <w:rsid w:val="00E81C0F"/>
    <w:rsid w:val="00E85BAF"/>
    <w:rsid w:val="00E9297B"/>
    <w:rsid w:val="00EA063E"/>
    <w:rsid w:val="00EA1A88"/>
    <w:rsid w:val="00EA5690"/>
    <w:rsid w:val="00EB51D9"/>
    <w:rsid w:val="00EC659B"/>
    <w:rsid w:val="00ED1E7B"/>
    <w:rsid w:val="00ED30F6"/>
    <w:rsid w:val="00EE3268"/>
    <w:rsid w:val="00EF2EC6"/>
    <w:rsid w:val="00EF3F4A"/>
    <w:rsid w:val="00F01E51"/>
    <w:rsid w:val="00F07509"/>
    <w:rsid w:val="00F26CE6"/>
    <w:rsid w:val="00F518F3"/>
    <w:rsid w:val="00F70CF6"/>
    <w:rsid w:val="00F86945"/>
    <w:rsid w:val="00FB1904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DFF8C93-4B63-4997-8BBE-CAA898E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0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3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A48"/>
  </w:style>
  <w:style w:type="paragraph" w:styleId="Piedepgina">
    <w:name w:val="footer"/>
    <w:basedOn w:val="Normal"/>
    <w:link w:val="Piedepgina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A48"/>
  </w:style>
  <w:style w:type="character" w:customStyle="1" w:styleId="Ttulo1Car">
    <w:name w:val="Título 1 Car"/>
    <w:basedOn w:val="Fuentedeprrafopredeter"/>
    <w:link w:val="Ttulo1"/>
    <w:uiPriority w:val="9"/>
    <w:rsid w:val="00763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30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C:\Users\maria.parada\Documents\A&#241;o%202022\Control%20de%20Solicitudes%202022\Control%20demanda%20obra%20por%20trimestre%20a&#241;o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# de solicitudes recibidas por</a:t>
            </a:r>
            <a:r>
              <a:rPr lang="en-US" baseline="0"/>
              <a:t> mes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spPr>
            <a:solidFill>
              <a:srgbClr val="7030A0"/>
            </a:solidFill>
          </c:spPr>
          <c:dPt>
            <c:idx val="0"/>
            <c:bubble3D val="0"/>
            <c:spPr>
              <a:solidFill>
                <a:schemeClr val="accent6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spPr>
                <a:solidFill>
                  <a:schemeClr val="accent4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spPr>
                <a:solidFill>
                  <a:schemeClr val="accent4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spPr>
                <a:solidFill>
                  <a:schemeClr val="accent4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'trimestre 1'!$C$17:$E$17</c:f>
              <c:numCache>
                <c:formatCode>mmm\-yy</c:formatCode>
                <c:ptCount val="3"/>
                <c:pt idx="0">
                  <c:v>44562</c:v>
                </c:pt>
                <c:pt idx="1">
                  <c:v>44593</c:v>
                </c:pt>
                <c:pt idx="2">
                  <c:v>44621</c:v>
                </c:pt>
              </c:numCache>
            </c:numRef>
          </c:cat>
          <c:val>
            <c:numRef>
              <c:f>'trimestre 1'!$C$18:$E$18</c:f>
              <c:numCache>
                <c:formatCode>General</c:formatCode>
                <c:ptCount val="3"/>
                <c:pt idx="0">
                  <c:v>20</c:v>
                </c:pt>
                <c:pt idx="1">
                  <c:v>53</c:v>
                </c:pt>
                <c:pt idx="2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legendEntry>
      <c:layout>
        <c:manualLayout>
          <c:xMode val="edge"/>
          <c:yMode val="edge"/>
          <c:x val="2.7812111592740961E-3"/>
          <c:y val="0.91808140591606202"/>
          <c:w val="0.93322183929020242"/>
          <c:h val="8.19185940839379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 recibidas </a:t>
            </a:r>
            <a:r>
              <a:rPr lang="es-SV" baseline="0"/>
              <a:t>por departamento </a:t>
            </a:r>
          </a:p>
          <a:p>
            <a:pPr>
              <a:defRPr/>
            </a:pPr>
            <a:r>
              <a:rPr lang="es-SV" baseline="0"/>
              <a:t>1er. trimestre 2022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1'!$C$2</c:f>
              <c:strCache>
                <c:ptCount val="1"/>
                <c:pt idx="0">
                  <c:v>ene-22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'trimestre 1'!$B$3:$B$16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1'!$C$3:$C$16</c:f>
              <c:numCache>
                <c:formatCode>General</c:formatCode>
                <c:ptCount val="1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3</c:v>
                </c:pt>
                <c:pt idx="7">
                  <c:v>1</c:v>
                </c:pt>
                <c:pt idx="8">
                  <c:v>4</c:v>
                </c:pt>
                <c:pt idx="9">
                  <c:v>4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</c:numCache>
            </c:numRef>
          </c:val>
        </c:ser>
        <c:ser>
          <c:idx val="1"/>
          <c:order val="1"/>
          <c:tx>
            <c:strRef>
              <c:f>'trimestre 1'!$D$2</c:f>
              <c:strCache>
                <c:ptCount val="1"/>
                <c:pt idx="0">
                  <c:v>feb-22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3.1970769582096367E-2"/>
                  <c:y val="-3.5982989859339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accent4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star8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1'!$B$3:$B$16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1'!$D$3:$D$16</c:f>
              <c:numCache>
                <c:formatCode>General</c:formatCode>
                <c:ptCount val="14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6</c:v>
                </c:pt>
                <c:pt idx="7">
                  <c:v>2</c:v>
                </c:pt>
                <c:pt idx="8">
                  <c:v>11</c:v>
                </c:pt>
                <c:pt idx="9">
                  <c:v>4</c:v>
                </c:pt>
                <c:pt idx="10">
                  <c:v>3</c:v>
                </c:pt>
                <c:pt idx="12">
                  <c:v>2</c:v>
                </c:pt>
                <c:pt idx="13">
                  <c:v>16</c:v>
                </c:pt>
              </c:numCache>
            </c:numRef>
          </c:val>
        </c:ser>
        <c:ser>
          <c:idx val="2"/>
          <c:order val="2"/>
          <c:tx>
            <c:strRef>
              <c:f>'trimestre 1'!$E$2</c:f>
              <c:strCache>
                <c:ptCount val="1"/>
                <c:pt idx="0">
                  <c:v>mar-22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1'!$B$3:$B$16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1'!$E$3:$E$16</c:f>
              <c:numCache>
                <c:formatCode>General</c:formatCode>
                <c:ptCount val="14"/>
                <c:pt idx="0">
                  <c:v>2</c:v>
                </c:pt>
                <c:pt idx="1">
                  <c:v>0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6">
                  <c:v>5</c:v>
                </c:pt>
                <c:pt idx="7">
                  <c:v>3</c:v>
                </c:pt>
                <c:pt idx="8">
                  <c:v>13</c:v>
                </c:pt>
                <c:pt idx="9">
                  <c:v>8</c:v>
                </c:pt>
                <c:pt idx="10">
                  <c:v>2</c:v>
                </c:pt>
                <c:pt idx="12">
                  <c:v>1</c:v>
                </c:pt>
                <c:pt idx="1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2137458912"/>
        <c:axId val="-2137446400"/>
      </c:barChart>
      <c:catAx>
        <c:axId val="-2137458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2137446400"/>
        <c:crosses val="autoZero"/>
        <c:auto val="1"/>
        <c:lblAlgn val="ctr"/>
        <c:lblOffset val="100"/>
        <c:noMultiLvlLbl val="0"/>
      </c:catAx>
      <c:valAx>
        <c:axId val="-2137446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2137458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132186212368091"/>
          <c:y val="0.88427798340712804"/>
          <c:w val="0.69806736877689324"/>
          <c:h val="0.112552834722941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#</a:t>
            </a:r>
            <a:r>
              <a:rPr lang="es-SV" baseline="0"/>
              <a:t> total de solicitudes en el 1er. trimestre 2022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60000" spcFirstLastPara="1" vertOverflow="overflow" horzOverflow="overflow" vert="horz" wrap="square" lIns="36000" tIns="36000" rIns="36000" bIns="36000" anchor="t" anchorCtr="0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1'!$C$17:$F$17</c:f>
              <c:strCache>
                <c:ptCount val="4"/>
                <c:pt idx="0">
                  <c:v>ene-22</c:v>
                </c:pt>
                <c:pt idx="1">
                  <c:v>feb-22</c:v>
                </c:pt>
                <c:pt idx="2">
                  <c:v>mar-22</c:v>
                </c:pt>
                <c:pt idx="3">
                  <c:v>Total Trimestre</c:v>
                </c:pt>
              </c:strCache>
            </c:strRef>
          </c:cat>
          <c:val>
            <c:numRef>
              <c:f>'trimestre 1'!$C$18:$F$18</c:f>
              <c:numCache>
                <c:formatCode>General</c:formatCode>
                <c:ptCount val="4"/>
                <c:pt idx="0">
                  <c:v>20</c:v>
                </c:pt>
                <c:pt idx="1">
                  <c:v>53</c:v>
                </c:pt>
                <c:pt idx="2">
                  <c:v>42</c:v>
                </c:pt>
                <c:pt idx="3">
                  <c:v>115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2137455648"/>
        <c:axId val="-2137458368"/>
        <c:axId val="0"/>
      </c:bar3DChart>
      <c:catAx>
        <c:axId val="-2137455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2137458368"/>
        <c:crosses val="autoZero"/>
        <c:auto val="1"/>
        <c:lblAlgn val="ctr"/>
        <c:lblOffset val="100"/>
        <c:noMultiLvlLbl val="0"/>
      </c:catAx>
      <c:valAx>
        <c:axId val="-21374583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213745564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Competencia de la demanda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1'!$C$37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'trimestre 1'!$B$38:$B$43</c:f>
              <c:strCache>
                <c:ptCount val="6"/>
                <c:pt idx="0">
                  <c:v>Alcaldía</c:v>
                </c:pt>
                <c:pt idx="1">
                  <c:v>FOVIAL</c:v>
                </c:pt>
                <c:pt idx="2">
                  <c:v>GOES</c:v>
                </c:pt>
                <c:pt idx="3">
                  <c:v>MOPT</c:v>
                </c:pt>
                <c:pt idx="4">
                  <c:v>Privado</c:v>
                </c:pt>
                <c:pt idx="5">
                  <c:v>VMT</c:v>
                </c:pt>
              </c:strCache>
            </c:strRef>
          </c:cat>
          <c:val>
            <c:numRef>
              <c:f>'trimestre 1'!$C$38:$C$43</c:f>
              <c:numCache>
                <c:formatCode>General</c:formatCode>
                <c:ptCount val="6"/>
                <c:pt idx="0">
                  <c:v>13</c:v>
                </c:pt>
                <c:pt idx="1">
                  <c:v>1</c:v>
                </c:pt>
                <c:pt idx="2">
                  <c:v>5</c:v>
                </c:pt>
                <c:pt idx="3">
                  <c:v>7</c:v>
                </c:pt>
                <c:pt idx="4">
                  <c:v>3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'trimestre 1'!$D$37</c:f>
              <c:strCache>
                <c:ptCount val="1"/>
                <c:pt idx="0">
                  <c:v>febrero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flowChartPunchedTape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1'!$B$38:$B$43</c:f>
              <c:strCache>
                <c:ptCount val="6"/>
                <c:pt idx="0">
                  <c:v>Alcaldía</c:v>
                </c:pt>
                <c:pt idx="1">
                  <c:v>FOVIAL</c:v>
                </c:pt>
                <c:pt idx="2">
                  <c:v>GOES</c:v>
                </c:pt>
                <c:pt idx="3">
                  <c:v>MOPT</c:v>
                </c:pt>
                <c:pt idx="4">
                  <c:v>Privado</c:v>
                </c:pt>
                <c:pt idx="5">
                  <c:v>VMT</c:v>
                </c:pt>
              </c:strCache>
            </c:strRef>
          </c:cat>
          <c:val>
            <c:numRef>
              <c:f>'trimestre 1'!$D$38:$D$43</c:f>
              <c:numCache>
                <c:formatCode>General</c:formatCode>
                <c:ptCount val="6"/>
                <c:pt idx="0">
                  <c:v>21</c:v>
                </c:pt>
                <c:pt idx="1">
                  <c:v>2</c:v>
                </c:pt>
                <c:pt idx="2">
                  <c:v>7</c:v>
                </c:pt>
                <c:pt idx="3">
                  <c:v>17</c:v>
                </c:pt>
                <c:pt idx="4">
                  <c:v>2</c:v>
                </c:pt>
                <c:pt idx="5">
                  <c:v>4</c:v>
                </c:pt>
              </c:numCache>
            </c:numRef>
          </c:val>
        </c:ser>
        <c:ser>
          <c:idx val="2"/>
          <c:order val="2"/>
          <c:tx>
            <c:strRef>
              <c:f>'trimestre 1'!$E$37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>
              <a:innerShdw blurRad="63500" dist="50800" dir="16200000">
                <a:prstClr val="black">
                  <a:alpha val="50000"/>
                </a:prstClr>
              </a:innerShdw>
            </a:effectLst>
          </c:spPr>
          <c:invertIfNegative val="0"/>
          <c:cat>
            <c:strRef>
              <c:f>'trimestre 1'!$B$38:$B$43</c:f>
              <c:strCache>
                <c:ptCount val="6"/>
                <c:pt idx="0">
                  <c:v>Alcaldía</c:v>
                </c:pt>
                <c:pt idx="1">
                  <c:v>FOVIAL</c:v>
                </c:pt>
                <c:pt idx="2">
                  <c:v>GOES</c:v>
                </c:pt>
                <c:pt idx="3">
                  <c:v>MOPT</c:v>
                </c:pt>
                <c:pt idx="4">
                  <c:v>Privado</c:v>
                </c:pt>
                <c:pt idx="5">
                  <c:v>VMT</c:v>
                </c:pt>
              </c:strCache>
            </c:strRef>
          </c:cat>
          <c:val>
            <c:numRef>
              <c:f>'trimestre 1'!$E$38:$E$43</c:f>
              <c:numCache>
                <c:formatCode>General</c:formatCode>
                <c:ptCount val="6"/>
                <c:pt idx="0">
                  <c:v>15</c:v>
                </c:pt>
                <c:pt idx="1">
                  <c:v>1</c:v>
                </c:pt>
                <c:pt idx="2">
                  <c:v>2</c:v>
                </c:pt>
                <c:pt idx="3">
                  <c:v>16</c:v>
                </c:pt>
                <c:pt idx="4">
                  <c:v>2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37456736"/>
        <c:axId val="-2137445312"/>
      </c:barChart>
      <c:catAx>
        <c:axId val="-213745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2137445312"/>
        <c:crosses val="autoZero"/>
        <c:auto val="1"/>
        <c:lblAlgn val="ctr"/>
        <c:lblOffset val="100"/>
        <c:noMultiLvlLbl val="0"/>
      </c:catAx>
      <c:valAx>
        <c:axId val="-2137445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2137456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9170270093095771"/>
          <c:y val="0.4577486579460846"/>
          <c:w val="9.5651077127847164E-2"/>
          <c:h val="0.291459804824207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Zona de la demanda solicitada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1'!$B$22</c:f>
              <c:strCache>
                <c:ptCount val="1"/>
                <c:pt idx="0">
                  <c:v>Urbana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1'!$C$21:$E$21</c:f>
              <c:strCache>
                <c:ptCount val="3"/>
                <c:pt idx="0">
                  <c:v>enero</c:v>
                </c:pt>
                <c:pt idx="1">
                  <c:v>febrero </c:v>
                </c:pt>
                <c:pt idx="2">
                  <c:v>marzo</c:v>
                </c:pt>
              </c:strCache>
            </c:strRef>
          </c:cat>
          <c:val>
            <c:numRef>
              <c:f>'trimestre 1'!$C$22:$E$22</c:f>
              <c:numCache>
                <c:formatCode>General</c:formatCode>
                <c:ptCount val="3"/>
                <c:pt idx="0">
                  <c:v>14</c:v>
                </c:pt>
                <c:pt idx="1">
                  <c:v>35</c:v>
                </c:pt>
                <c:pt idx="2">
                  <c:v>25</c:v>
                </c:pt>
              </c:numCache>
            </c:numRef>
          </c:val>
        </c:ser>
        <c:ser>
          <c:idx val="1"/>
          <c:order val="1"/>
          <c:tx>
            <c:strRef>
              <c:f>'trimestre 1'!$B$23</c:f>
              <c:strCache>
                <c:ptCount val="1"/>
                <c:pt idx="0">
                  <c:v>Rural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1'!$C$21:$E$21</c:f>
              <c:strCache>
                <c:ptCount val="3"/>
                <c:pt idx="0">
                  <c:v>enero</c:v>
                </c:pt>
                <c:pt idx="1">
                  <c:v>febrero </c:v>
                </c:pt>
                <c:pt idx="2">
                  <c:v>marzo</c:v>
                </c:pt>
              </c:strCache>
            </c:strRef>
          </c:cat>
          <c:val>
            <c:numRef>
              <c:f>'trimestre 1'!$C$23:$E$23</c:f>
              <c:numCache>
                <c:formatCode>General</c:formatCode>
                <c:ptCount val="3"/>
                <c:pt idx="0">
                  <c:v>15</c:v>
                </c:pt>
                <c:pt idx="1">
                  <c:v>18</c:v>
                </c:pt>
                <c:pt idx="2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-2137452384"/>
        <c:axId val="-2137448576"/>
      </c:barChart>
      <c:catAx>
        <c:axId val="-213745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2137448576"/>
        <c:crosses val="autoZero"/>
        <c:auto val="1"/>
        <c:lblAlgn val="ctr"/>
        <c:lblOffset val="100"/>
        <c:noMultiLvlLbl val="0"/>
      </c:catAx>
      <c:valAx>
        <c:axId val="-213744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2137452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Sexo</a:t>
            </a:r>
            <a:r>
              <a:rPr lang="es-SV" baseline="0"/>
              <a:t> de personas solicitantes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'trimestre 1'!$B$27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CC66FF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accent4"/>
              </a:solidFill>
              <a:ln>
                <a:solidFill>
                  <a:schemeClr val="accent2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1'!$C$26:$E$26</c:f>
              <c:strCache>
                <c:ptCount val="3"/>
                <c:pt idx="0">
                  <c:v>enero</c:v>
                </c:pt>
                <c:pt idx="1">
                  <c:v>febrero </c:v>
                </c:pt>
                <c:pt idx="2">
                  <c:v>marzo</c:v>
                </c:pt>
              </c:strCache>
            </c:strRef>
          </c:cat>
          <c:val>
            <c:numRef>
              <c:f>'trimestre 1'!$C$27:$E$27</c:f>
              <c:numCache>
                <c:formatCode>General</c:formatCode>
                <c:ptCount val="3"/>
                <c:pt idx="0">
                  <c:v>12</c:v>
                </c:pt>
                <c:pt idx="1">
                  <c:v>16</c:v>
                </c:pt>
                <c:pt idx="2">
                  <c:v>16</c:v>
                </c:pt>
              </c:numCache>
            </c:numRef>
          </c:val>
        </c:ser>
        <c:ser>
          <c:idx val="1"/>
          <c:order val="1"/>
          <c:tx>
            <c:strRef>
              <c:f>'trimestre 1'!$B$28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accent4"/>
              </a:solidFill>
              <a:ln>
                <a:solidFill>
                  <a:schemeClr val="accent2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1'!$C$26:$E$26</c:f>
              <c:strCache>
                <c:ptCount val="3"/>
                <c:pt idx="0">
                  <c:v>enero</c:v>
                </c:pt>
                <c:pt idx="1">
                  <c:v>febrero </c:v>
                </c:pt>
                <c:pt idx="2">
                  <c:v>marzo</c:v>
                </c:pt>
              </c:strCache>
            </c:strRef>
          </c:cat>
          <c:val>
            <c:numRef>
              <c:f>'trimestre 1'!$C$28:$E$28</c:f>
              <c:numCache>
                <c:formatCode>General</c:formatCode>
                <c:ptCount val="3"/>
                <c:pt idx="0">
                  <c:v>17</c:v>
                </c:pt>
                <c:pt idx="1">
                  <c:v>37</c:v>
                </c:pt>
                <c:pt idx="2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137455104"/>
        <c:axId val="-2137448032"/>
      </c:barChart>
      <c:catAx>
        <c:axId val="-2137455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2137448032"/>
        <c:crosses val="autoZero"/>
        <c:auto val="1"/>
        <c:lblAlgn val="ctr"/>
        <c:lblOffset val="100"/>
        <c:noMultiLvlLbl val="0"/>
      </c:catAx>
      <c:valAx>
        <c:axId val="-213744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2137455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843027686055372"/>
          <c:y val="0.8885841068241016"/>
          <c:w val="0.41733299466598939"/>
          <c:h val="0.109673343399946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1'!$C$30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1'!$B$31:$B$35</c:f>
              <c:strCache>
                <c:ptCount val="5"/>
                <c:pt idx="0">
                  <c:v>Adesco</c:v>
                </c:pt>
                <c:pt idx="1">
                  <c:v>GOES</c:v>
                </c:pt>
                <c:pt idx="2">
                  <c:v>PRIVADO</c:v>
                </c:pt>
                <c:pt idx="3">
                  <c:v>Ninguna </c:v>
                </c:pt>
                <c:pt idx="4">
                  <c:v>Alcaldía </c:v>
                </c:pt>
              </c:strCache>
            </c:strRef>
          </c:cat>
          <c:val>
            <c:numRef>
              <c:f>'trimestre 1'!$C$31:$C$35</c:f>
              <c:numCache>
                <c:formatCode>General</c:formatCode>
                <c:ptCount val="5"/>
                <c:pt idx="0">
                  <c:v>16</c:v>
                </c:pt>
                <c:pt idx="1">
                  <c:v>2</c:v>
                </c:pt>
                <c:pt idx="2">
                  <c:v>0</c:v>
                </c:pt>
                <c:pt idx="3">
                  <c:v>8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'trimestre 1'!$D$30</c:f>
              <c:strCache>
                <c:ptCount val="1"/>
                <c:pt idx="0">
                  <c:v>febrero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1'!$B$31:$B$35</c:f>
              <c:strCache>
                <c:ptCount val="5"/>
                <c:pt idx="0">
                  <c:v>Adesco</c:v>
                </c:pt>
                <c:pt idx="1">
                  <c:v>GOES</c:v>
                </c:pt>
                <c:pt idx="2">
                  <c:v>PRIVADO</c:v>
                </c:pt>
                <c:pt idx="3">
                  <c:v>Ninguna </c:v>
                </c:pt>
                <c:pt idx="4">
                  <c:v>Alcaldía </c:v>
                </c:pt>
              </c:strCache>
            </c:strRef>
          </c:cat>
          <c:val>
            <c:numRef>
              <c:f>'trimestre 1'!$D$31:$D$35</c:f>
              <c:numCache>
                <c:formatCode>General</c:formatCode>
                <c:ptCount val="5"/>
                <c:pt idx="0">
                  <c:v>32</c:v>
                </c:pt>
                <c:pt idx="1">
                  <c:v>6</c:v>
                </c:pt>
                <c:pt idx="2">
                  <c:v>4</c:v>
                </c:pt>
                <c:pt idx="3">
                  <c:v>4</c:v>
                </c:pt>
                <c:pt idx="4">
                  <c:v>7</c:v>
                </c:pt>
              </c:numCache>
            </c:numRef>
          </c:val>
        </c:ser>
        <c:ser>
          <c:idx val="2"/>
          <c:order val="2"/>
          <c:tx>
            <c:strRef>
              <c:f>'trimestre 1'!$E$30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1'!$B$31:$B$35</c:f>
              <c:strCache>
                <c:ptCount val="5"/>
                <c:pt idx="0">
                  <c:v>Adesco</c:v>
                </c:pt>
                <c:pt idx="1">
                  <c:v>GOES</c:v>
                </c:pt>
                <c:pt idx="2">
                  <c:v>PRIVADO</c:v>
                </c:pt>
                <c:pt idx="3">
                  <c:v>Ninguna </c:v>
                </c:pt>
                <c:pt idx="4">
                  <c:v>Alcaldía </c:v>
                </c:pt>
              </c:strCache>
            </c:strRef>
          </c:cat>
          <c:val>
            <c:numRef>
              <c:f>'trimestre 1'!$E$31:$E$35</c:f>
              <c:numCache>
                <c:formatCode>General</c:formatCode>
                <c:ptCount val="5"/>
                <c:pt idx="0">
                  <c:v>24</c:v>
                </c:pt>
                <c:pt idx="1">
                  <c:v>4</c:v>
                </c:pt>
                <c:pt idx="2">
                  <c:v>2</c:v>
                </c:pt>
                <c:pt idx="3">
                  <c:v>8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-2137453472"/>
        <c:axId val="-2137451840"/>
      </c:barChart>
      <c:catAx>
        <c:axId val="-213745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2137451840"/>
        <c:crosses val="autoZero"/>
        <c:auto val="1"/>
        <c:lblAlgn val="ctr"/>
        <c:lblOffset val="100"/>
        <c:noMultiLvlLbl val="0"/>
      </c:catAx>
      <c:valAx>
        <c:axId val="-21374518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213745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Tipos de</a:t>
            </a:r>
            <a:r>
              <a:rPr lang="es-SV" baseline="0"/>
              <a:t> obras solicitadas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1'!$C$81</c:f>
              <c:strCache>
                <c:ptCount val="1"/>
                <c:pt idx="0">
                  <c:v>enero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1'!$B$82:$B$90</c:f>
              <c:strCache>
                <c:ptCount val="9"/>
                <c:pt idx="0">
                  <c:v>Pavimentación </c:v>
                </c:pt>
                <c:pt idx="1">
                  <c:v>Obra de mitigación</c:v>
                </c:pt>
                <c:pt idx="2">
                  <c:v>Reparación/bacheo</c:v>
                </c:pt>
                <c:pt idx="3">
                  <c:v>Inspecciones</c:v>
                </c:pt>
                <c:pt idx="4">
                  <c:v>Puente/obra de paso</c:v>
                </c:pt>
                <c:pt idx="5">
                  <c:v>Señalización/túmulos</c:v>
                </c:pt>
                <c:pt idx="6">
                  <c:v>Audiencias</c:v>
                </c:pt>
                <c:pt idx="7">
                  <c:v>Donación de materiales</c:v>
                </c:pt>
                <c:pt idx="8">
                  <c:v>otra </c:v>
                </c:pt>
              </c:strCache>
            </c:strRef>
          </c:cat>
          <c:val>
            <c:numRef>
              <c:f>'trimestre 1'!$C$82:$C$90</c:f>
              <c:numCache>
                <c:formatCode>General</c:formatCode>
                <c:ptCount val="9"/>
                <c:pt idx="0">
                  <c:v>11</c:v>
                </c:pt>
                <c:pt idx="1">
                  <c:v>5</c:v>
                </c:pt>
                <c:pt idx="2">
                  <c:v>3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3</c:v>
                </c:pt>
              </c:numCache>
            </c:numRef>
          </c:val>
        </c:ser>
        <c:ser>
          <c:idx val="1"/>
          <c:order val="1"/>
          <c:tx>
            <c:strRef>
              <c:f>'trimestre 1'!$D$81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>
              <a:glow rad="101600">
                <a:srgbClr val="ED7D31">
                  <a:satMod val="175000"/>
                  <a:alpha val="40000"/>
                </a:srgbClr>
              </a:glow>
            </a:effectLst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heptagon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1'!$B$82:$B$90</c:f>
              <c:strCache>
                <c:ptCount val="9"/>
                <c:pt idx="0">
                  <c:v>Pavimentación </c:v>
                </c:pt>
                <c:pt idx="1">
                  <c:v>Obra de mitigación</c:v>
                </c:pt>
                <c:pt idx="2">
                  <c:v>Reparación/bacheo</c:v>
                </c:pt>
                <c:pt idx="3">
                  <c:v>Inspecciones</c:v>
                </c:pt>
                <c:pt idx="4">
                  <c:v>Puente/obra de paso</c:v>
                </c:pt>
                <c:pt idx="5">
                  <c:v>Señalización/túmulos</c:v>
                </c:pt>
                <c:pt idx="6">
                  <c:v>Audiencias</c:v>
                </c:pt>
                <c:pt idx="7">
                  <c:v>Donación de materiales</c:v>
                </c:pt>
                <c:pt idx="8">
                  <c:v>otra </c:v>
                </c:pt>
              </c:strCache>
            </c:strRef>
          </c:cat>
          <c:val>
            <c:numRef>
              <c:f>'trimestre 1'!$D$82:$D$90</c:f>
              <c:numCache>
                <c:formatCode>General</c:formatCode>
                <c:ptCount val="9"/>
                <c:pt idx="0">
                  <c:v>13</c:v>
                </c:pt>
                <c:pt idx="1">
                  <c:v>10</c:v>
                </c:pt>
                <c:pt idx="2">
                  <c:v>9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1</c:v>
                </c:pt>
                <c:pt idx="7">
                  <c:v>1</c:v>
                </c:pt>
                <c:pt idx="8">
                  <c:v>11</c:v>
                </c:pt>
              </c:numCache>
            </c:numRef>
          </c:val>
        </c:ser>
        <c:ser>
          <c:idx val="2"/>
          <c:order val="2"/>
          <c:tx>
            <c:strRef>
              <c:f>'trimestre 1'!$E$81</c:f>
              <c:strCache>
                <c:ptCount val="1"/>
                <c:pt idx="0">
                  <c:v>marzo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1'!$B$82:$B$90</c:f>
              <c:strCache>
                <c:ptCount val="9"/>
                <c:pt idx="0">
                  <c:v>Pavimentación </c:v>
                </c:pt>
                <c:pt idx="1">
                  <c:v>Obra de mitigación</c:v>
                </c:pt>
                <c:pt idx="2">
                  <c:v>Reparación/bacheo</c:v>
                </c:pt>
                <c:pt idx="3">
                  <c:v>Inspecciones</c:v>
                </c:pt>
                <c:pt idx="4">
                  <c:v>Puente/obra de paso</c:v>
                </c:pt>
                <c:pt idx="5">
                  <c:v>Señalización/túmulos</c:v>
                </c:pt>
                <c:pt idx="6">
                  <c:v>Audiencias</c:v>
                </c:pt>
                <c:pt idx="7">
                  <c:v>Donación de materiales</c:v>
                </c:pt>
                <c:pt idx="8">
                  <c:v>otra </c:v>
                </c:pt>
              </c:strCache>
            </c:strRef>
          </c:cat>
          <c:val>
            <c:numRef>
              <c:f>'trimestre 1'!$E$82:$E$90</c:f>
              <c:numCache>
                <c:formatCode>General</c:formatCode>
                <c:ptCount val="9"/>
                <c:pt idx="0">
                  <c:v>2</c:v>
                </c:pt>
                <c:pt idx="1">
                  <c:v>4</c:v>
                </c:pt>
                <c:pt idx="2">
                  <c:v>12</c:v>
                </c:pt>
                <c:pt idx="3">
                  <c:v>5</c:v>
                </c:pt>
                <c:pt idx="4">
                  <c:v>8</c:v>
                </c:pt>
                <c:pt idx="5">
                  <c:v>3</c:v>
                </c:pt>
                <c:pt idx="6">
                  <c:v>1</c:v>
                </c:pt>
                <c:pt idx="7">
                  <c:v>0</c:v>
                </c:pt>
                <c:pt idx="8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2137460544"/>
        <c:axId val="-2137460000"/>
      </c:barChart>
      <c:catAx>
        <c:axId val="-213746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2137460000"/>
        <c:crosses val="autoZero"/>
        <c:auto val="1"/>
        <c:lblAlgn val="ctr"/>
        <c:lblOffset val="100"/>
        <c:noMultiLvlLbl val="0"/>
      </c:catAx>
      <c:valAx>
        <c:axId val="-21374600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2137460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6816133910413515"/>
          <c:y val="8.2074506939371822E-2"/>
          <c:w val="0.49414089795067007"/>
          <c:h val="9.02121785543790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A0B0-BE63-45B0-9A35-E14F2A24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2</cp:revision>
  <dcterms:created xsi:type="dcterms:W3CDTF">2022-04-20T15:02:00Z</dcterms:created>
  <dcterms:modified xsi:type="dcterms:W3CDTF">2022-04-20T15:02:00Z</dcterms:modified>
</cp:coreProperties>
</file>