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AA600E" w:rsidRDefault="00524D06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 xml:space="preserve">DEMANDA DE OBRA PÚBLICA </w:t>
      </w:r>
      <w:r w:rsidR="00EB51D9" w:rsidRPr="00AA600E">
        <w:rPr>
          <w:b/>
          <w:color w:val="auto"/>
          <w:sz w:val="28"/>
          <w:szCs w:val="28"/>
        </w:rPr>
        <w:t>D</w:t>
      </w:r>
      <w:r w:rsidR="00AD0C86" w:rsidRPr="00AA600E">
        <w:rPr>
          <w:b/>
          <w:color w:val="auto"/>
          <w:sz w:val="28"/>
          <w:szCs w:val="28"/>
        </w:rPr>
        <w:t>EL</w:t>
      </w:r>
      <w:r w:rsidR="00763022" w:rsidRPr="00AA600E">
        <w:rPr>
          <w:b/>
          <w:color w:val="auto"/>
          <w:sz w:val="28"/>
          <w:szCs w:val="28"/>
        </w:rPr>
        <w:t xml:space="preserve"> SEGUNDO </w:t>
      </w:r>
      <w:r w:rsidR="00AD0C86" w:rsidRPr="00AA600E">
        <w:rPr>
          <w:b/>
          <w:color w:val="auto"/>
          <w:sz w:val="28"/>
          <w:szCs w:val="28"/>
        </w:rPr>
        <w:t>TRI</w:t>
      </w:r>
      <w:bookmarkStart w:id="0" w:name="_GoBack"/>
      <w:bookmarkEnd w:id="0"/>
      <w:r w:rsidR="00AD0C86" w:rsidRPr="00AA600E">
        <w:rPr>
          <w:b/>
          <w:color w:val="auto"/>
          <w:sz w:val="28"/>
          <w:szCs w:val="28"/>
        </w:rPr>
        <w:t xml:space="preserve">MESTRE </w:t>
      </w:r>
      <w:r w:rsidRPr="00AA600E">
        <w:rPr>
          <w:b/>
          <w:color w:val="auto"/>
          <w:sz w:val="28"/>
          <w:szCs w:val="28"/>
        </w:rPr>
        <w:t>20</w:t>
      </w:r>
      <w:r w:rsidR="0010130F" w:rsidRPr="00AA600E">
        <w:rPr>
          <w:b/>
          <w:color w:val="auto"/>
          <w:sz w:val="28"/>
          <w:szCs w:val="28"/>
        </w:rPr>
        <w:t>21</w:t>
      </w:r>
    </w:p>
    <w:p w:rsidR="0065734E" w:rsidRPr="00AA600E" w:rsidRDefault="00B41388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763022" w:rsidP="00763022">
      <w:pPr>
        <w:pStyle w:val="Ttulo2"/>
      </w:pPr>
      <w:r w:rsidRPr="00763022">
        <w:rPr>
          <w:noProof/>
          <w:lang w:eastAsia="es-SV"/>
        </w:rPr>
        <w:drawing>
          <wp:inline distT="0" distB="0" distL="0" distR="0" wp14:anchorId="406F40B1" wp14:editId="49985DFE">
            <wp:extent cx="5852160" cy="4123055"/>
            <wp:effectExtent l="0" t="0" r="15240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DB2" w:rsidRDefault="00AA600E" w:rsidP="00522E81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362585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>2do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 Trimestre de 2021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Dirección 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En promedio se han recibido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D96DBC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solicitudes mensuales.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6pt;margin-top:28.55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763022">
                        <w:rPr>
                          <w:sz w:val="24"/>
                          <w:szCs w:val="24"/>
                        </w:rPr>
                        <w:t>2do</w:t>
                      </w:r>
                      <w:r w:rsidR="00297123">
                        <w:rPr>
                          <w:sz w:val="24"/>
                          <w:szCs w:val="24"/>
                        </w:rPr>
                        <w:t>. Trimestre de 2021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Dirección 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En promedio se han recibido </w:t>
                      </w:r>
                      <w:r w:rsidR="00763022">
                        <w:rPr>
                          <w:sz w:val="24"/>
                          <w:szCs w:val="24"/>
                        </w:rPr>
                        <w:t>6</w:t>
                      </w:r>
                      <w:r w:rsidR="00D96DBC">
                        <w:rPr>
                          <w:sz w:val="24"/>
                          <w:szCs w:val="24"/>
                        </w:rPr>
                        <w:t>4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solicitudes mensuales.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7123" w:rsidRDefault="00297123"/>
    <w:p w:rsidR="00297123" w:rsidRDefault="00297123"/>
    <w:p w:rsidR="00297123" w:rsidRDefault="00297123"/>
    <w:p w:rsidR="004C3084" w:rsidRDefault="004C3084"/>
    <w:p w:rsidR="002C2297" w:rsidRDefault="002C2297">
      <w:r>
        <w:br w:type="page"/>
      </w:r>
    </w:p>
    <w:p w:rsidR="00AD0C86" w:rsidRDefault="00AD0C86"/>
    <w:p w:rsidR="007A0B81" w:rsidRDefault="00D96DBC">
      <w:r>
        <w:rPr>
          <w:noProof/>
          <w:lang w:eastAsia="es-SV"/>
        </w:rPr>
        <w:drawing>
          <wp:inline distT="0" distB="0" distL="0" distR="0" wp14:anchorId="0F7862E2" wp14:editId="0CE0F8F8">
            <wp:extent cx="6172200" cy="46863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0B81" w:rsidRDefault="00763022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54610</wp:posOffset>
                </wp:positionH>
                <wp:positionV relativeFrom="paragraph">
                  <wp:posOffset>456565</wp:posOffset>
                </wp:positionV>
                <wp:extent cx="6186805" cy="990600"/>
                <wp:effectExtent l="19050" t="19050" r="2349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9906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26" w:rsidRDefault="00EA063E" w:rsidP="00A63F0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la demanda de solicitudes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mensual durante el segundo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trimestre 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Pr="00A63F00" w:rsidRDefault="00024C26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San Salvador es el departamento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con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más solicitudes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de obra en 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>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seguido de La Libertad y en tercer lugar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>Chalatenango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4.3pt;margin-top:35.95pt;width:487.1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" fillcolor="white [3201]" strokecolor="#70ad47 [3209]" strokeweight="3pt">
                <v:textbox>
                  <w:txbxContent>
                    <w:p w:rsidR="00024C26" w:rsidRDefault="00EA063E" w:rsidP="00A63F0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la demanda de solicitudes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mensual durante el segundo </w:t>
                      </w:r>
                      <w:r w:rsidR="00024C26">
                        <w:rPr>
                          <w:sz w:val="24"/>
                          <w:szCs w:val="24"/>
                        </w:rPr>
                        <w:t>trimestre 20</w:t>
                      </w:r>
                      <w:r w:rsidR="008543F3">
                        <w:rPr>
                          <w:sz w:val="24"/>
                          <w:szCs w:val="24"/>
                        </w:rPr>
                        <w:t>21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Pr="00A63F00" w:rsidRDefault="00024C26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San Salvador es el departamento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con </w:t>
                      </w:r>
                      <w:r>
                        <w:rPr>
                          <w:sz w:val="24"/>
                          <w:szCs w:val="24"/>
                        </w:rPr>
                        <w:t xml:space="preserve">más solicitudes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de obra en </w:t>
                      </w:r>
                      <w:r w:rsidR="009E5D12">
                        <w:rPr>
                          <w:sz w:val="24"/>
                          <w:szCs w:val="24"/>
                        </w:rPr>
                        <w:t>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seguido de La Libertad y en tercer lugar </w:t>
                      </w:r>
                      <w:r w:rsidR="00763022">
                        <w:rPr>
                          <w:sz w:val="24"/>
                          <w:szCs w:val="24"/>
                        </w:rPr>
                        <w:t>Chalatenango</w:t>
                      </w:r>
                      <w:r w:rsidR="008543F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C86" w:rsidRDefault="00AD0C86"/>
    <w:p w:rsidR="008543F3" w:rsidRDefault="008543F3">
      <w:r>
        <w:br w:type="page"/>
      </w:r>
    </w:p>
    <w:p w:rsidR="00B36DB2" w:rsidRDefault="00B36DB2"/>
    <w:p w:rsidR="00B36DB2" w:rsidRDefault="00B36DB2"/>
    <w:p w:rsidR="00A63F00" w:rsidRDefault="00A63F00"/>
    <w:p w:rsidR="00554125" w:rsidRDefault="00554125"/>
    <w:p w:rsidR="00A24789" w:rsidRDefault="00D96DBC">
      <w:r>
        <w:rPr>
          <w:noProof/>
          <w:lang w:eastAsia="es-SV"/>
        </w:rPr>
        <w:drawing>
          <wp:inline distT="0" distB="0" distL="0" distR="0" wp14:anchorId="069CD6C2" wp14:editId="49E78DB1">
            <wp:extent cx="5760720" cy="3752228"/>
            <wp:effectExtent l="0" t="0" r="11430" b="63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4789" w:rsidRDefault="00A2478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53340</wp:posOffset>
                </wp:positionH>
                <wp:positionV relativeFrom="paragraph">
                  <wp:posOffset>301800</wp:posOffset>
                </wp:positionV>
                <wp:extent cx="5753100" cy="614680"/>
                <wp:effectExtent l="19050" t="1905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A24789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por escrito, 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y el acumulado en el primer</w:t>
                            </w:r>
                            <w:r w:rsidR="00A24789">
                              <w:rPr>
                                <w:sz w:val="24"/>
                                <w:szCs w:val="24"/>
                              </w:rPr>
                              <w:t xml:space="preserve"> semestre 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4.2pt;margin-top:23.75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A24789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por escrito, </w:t>
                      </w:r>
                      <w:r w:rsidR="00ED1E7B">
                        <w:rPr>
                          <w:sz w:val="24"/>
                          <w:szCs w:val="24"/>
                        </w:rPr>
                        <w:t>y el acumulado en el primer</w:t>
                      </w:r>
                      <w:r w:rsidR="00A24789">
                        <w:rPr>
                          <w:sz w:val="24"/>
                          <w:szCs w:val="24"/>
                        </w:rPr>
                        <w:t xml:space="preserve"> semestre </w:t>
                      </w:r>
                      <w:r w:rsidR="00ED1E7B">
                        <w:rPr>
                          <w:sz w:val="24"/>
                          <w:szCs w:val="24"/>
                        </w:rPr>
                        <w:t>2021.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945" w:rsidRDefault="00F86945"/>
    <w:p w:rsidR="00554125" w:rsidRDefault="00554125"/>
    <w:sectPr w:rsidR="00554125" w:rsidSect="00EA063E">
      <w:headerReference w:type="default" r:id="rId10"/>
      <w:footerReference w:type="default" r:id="rId11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14" w:rsidRDefault="000D0114" w:rsidP="00496A48">
      <w:pPr>
        <w:spacing w:after="0" w:line="240" w:lineRule="auto"/>
      </w:pPr>
      <w:r>
        <w:separator/>
      </w:r>
    </w:p>
  </w:endnote>
  <w:endnote w:type="continuationSeparator" w:id="0">
    <w:p w:rsidR="000D0114" w:rsidRDefault="000D0114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E6" w:rsidRPr="00F26CE6">
          <w:rPr>
            <w:noProof/>
            <w:lang w:val="es-ES"/>
          </w:rPr>
          <w:t>3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14" w:rsidRDefault="000D0114" w:rsidP="00496A48">
      <w:pPr>
        <w:spacing w:after="0" w:line="240" w:lineRule="auto"/>
      </w:pPr>
      <w:r>
        <w:separator/>
      </w:r>
    </w:p>
  </w:footnote>
  <w:footnote w:type="continuationSeparator" w:id="0">
    <w:p w:rsidR="000D0114" w:rsidRDefault="000D0114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BA06D6" w:rsidP="00BA06D6">
    <w:pPr>
      <w:pStyle w:val="Encabezado"/>
      <w:tabs>
        <w:tab w:val="clear" w:pos="4419"/>
        <w:tab w:val="clear" w:pos="8838"/>
        <w:tab w:val="left" w:pos="5094"/>
      </w:tabs>
    </w:pPr>
    <w:r w:rsidRPr="00BA06D6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2198743</wp:posOffset>
          </wp:positionH>
          <wp:positionV relativeFrom="paragraph">
            <wp:posOffset>-273006</wp:posOffset>
          </wp:positionV>
          <wp:extent cx="725170" cy="697230"/>
          <wp:effectExtent l="0" t="0" r="0" b="7620"/>
          <wp:wrapTight wrapText="bothSides">
            <wp:wrapPolygon edited="0">
              <wp:start x="8511" y="0"/>
              <wp:lineTo x="5107" y="0"/>
              <wp:lineTo x="567" y="5902"/>
              <wp:lineTo x="0" y="17115"/>
              <wp:lineTo x="0" y="21246"/>
              <wp:lineTo x="20995" y="21246"/>
              <wp:lineTo x="20995" y="17115"/>
              <wp:lineTo x="20427" y="5902"/>
              <wp:lineTo x="15888" y="0"/>
              <wp:lineTo x="12483" y="0"/>
              <wp:lineTo x="8511" y="0"/>
            </wp:wrapPolygon>
          </wp:wrapTight>
          <wp:docPr id="2" name="Imagen 2" descr="C:\Users\maria.parada\Desktop\Membrete nuevo gobierno\logos_mop_GOES_Cool_Gra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parada\Desktop\Membrete nuevo gobierno\logos_mop_GOES_Cool_Gray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5853"/>
    <w:rsid w:val="0005284A"/>
    <w:rsid w:val="00080CA4"/>
    <w:rsid w:val="000B62CB"/>
    <w:rsid w:val="000C429E"/>
    <w:rsid w:val="000D0114"/>
    <w:rsid w:val="000D297B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2012D8"/>
    <w:rsid w:val="00225372"/>
    <w:rsid w:val="002679C9"/>
    <w:rsid w:val="00297123"/>
    <w:rsid w:val="002C2297"/>
    <w:rsid w:val="0031702D"/>
    <w:rsid w:val="003269A3"/>
    <w:rsid w:val="00351D16"/>
    <w:rsid w:val="00352FA4"/>
    <w:rsid w:val="00356CF6"/>
    <w:rsid w:val="003707CA"/>
    <w:rsid w:val="00375231"/>
    <w:rsid w:val="00380789"/>
    <w:rsid w:val="0039075F"/>
    <w:rsid w:val="00396EBF"/>
    <w:rsid w:val="003E2109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5A32"/>
    <w:rsid w:val="00554125"/>
    <w:rsid w:val="00570D2B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63022"/>
    <w:rsid w:val="00776B5C"/>
    <w:rsid w:val="007A0B81"/>
    <w:rsid w:val="007B6C61"/>
    <w:rsid w:val="007C51E5"/>
    <w:rsid w:val="007D02A4"/>
    <w:rsid w:val="00820910"/>
    <w:rsid w:val="008543F3"/>
    <w:rsid w:val="0086182F"/>
    <w:rsid w:val="008A08FB"/>
    <w:rsid w:val="008B4789"/>
    <w:rsid w:val="008D5838"/>
    <w:rsid w:val="008E026A"/>
    <w:rsid w:val="008E766E"/>
    <w:rsid w:val="00905AF2"/>
    <w:rsid w:val="0092250C"/>
    <w:rsid w:val="0096022B"/>
    <w:rsid w:val="00983F99"/>
    <w:rsid w:val="009870A2"/>
    <w:rsid w:val="009A2AF3"/>
    <w:rsid w:val="009B2694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C1091C"/>
    <w:rsid w:val="00C121DB"/>
    <w:rsid w:val="00C41970"/>
    <w:rsid w:val="00C43EDA"/>
    <w:rsid w:val="00C46AC8"/>
    <w:rsid w:val="00C53A9E"/>
    <w:rsid w:val="00C70EC4"/>
    <w:rsid w:val="00C82234"/>
    <w:rsid w:val="00CB5EC8"/>
    <w:rsid w:val="00CC208B"/>
    <w:rsid w:val="00CC6887"/>
    <w:rsid w:val="00CD237D"/>
    <w:rsid w:val="00CD57D9"/>
    <w:rsid w:val="00CE2B6D"/>
    <w:rsid w:val="00D37005"/>
    <w:rsid w:val="00D37EC8"/>
    <w:rsid w:val="00D51D3E"/>
    <w:rsid w:val="00D916D8"/>
    <w:rsid w:val="00D96DBC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CF6"/>
    <w:rsid w:val="00F86945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Demanda Mensual en 2do. Trimestre</a:t>
            </a:r>
            <a:r>
              <a:rPr lang="en-US" sz="1600" baseline="0"/>
              <a:t> 2021</a:t>
            </a:r>
            <a:endParaRPr lang="en-U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2'!$C$17:$E$17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'Trimestre 2'!$C$18:$E$18</c:f>
              <c:numCache>
                <c:formatCode>General</c:formatCode>
                <c:ptCount val="3"/>
                <c:pt idx="0">
                  <c:v>42</c:v>
                </c:pt>
                <c:pt idx="1">
                  <c:v>75</c:v>
                </c:pt>
                <c:pt idx="2">
                  <c:v>76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547175743657055"/>
          <c:y val="0.70622924021144518"/>
          <c:w val="0.13499699256342956"/>
          <c:h val="0.2729873843545623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 algn="l">
              <a:defRPr/>
            </a:pPr>
            <a:r>
              <a:rPr lang="es-SV" b="1"/>
              <a:t>en el 2do. trimestre 2021</a:t>
            </a:r>
          </a:p>
        </c:rich>
      </c:tx>
      <c:layout>
        <c:manualLayout>
          <c:xMode val="edge"/>
          <c:yMode val="edge"/>
          <c:x val="2.0169145523476231E-2"/>
          <c:y val="1.33667502088554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2'!$C$2</c:f>
              <c:strCache>
                <c:ptCount val="1"/>
                <c:pt idx="0">
                  <c:v>abril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2'!$C$3:$C$16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15</c:v>
                </c:pt>
                <c:pt idx="9">
                  <c:v>4</c:v>
                </c:pt>
                <c:pt idx="10">
                  <c:v>8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'Trimestre 2'!$D$2</c:f>
              <c:strCache>
                <c:ptCount val="1"/>
                <c:pt idx="0">
                  <c:v>mayo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2'!$D$3:$D$16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  <c:pt idx="7">
                  <c:v>8</c:v>
                </c:pt>
                <c:pt idx="8">
                  <c:v>32</c:v>
                </c:pt>
                <c:pt idx="9">
                  <c:v>9</c:v>
                </c:pt>
                <c:pt idx="10">
                  <c:v>5</c:v>
                </c:pt>
                <c:pt idx="11">
                  <c:v>4</c:v>
                </c:pt>
                <c:pt idx="12">
                  <c:v>2</c:v>
                </c:pt>
                <c:pt idx="13">
                  <c:v>3</c:v>
                </c:pt>
              </c:numCache>
            </c:numRef>
          </c:val>
        </c:ser>
        <c:ser>
          <c:idx val="2"/>
          <c:order val="2"/>
          <c:tx>
            <c:strRef>
              <c:f>'Trimestre 2'!$E$2</c:f>
              <c:strCache>
                <c:ptCount val="1"/>
                <c:pt idx="0">
                  <c:v>junio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2'!$B$3:$B$16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2'!$E$3:$E$16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35</c:v>
                </c:pt>
                <c:pt idx="9">
                  <c:v>14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76015224"/>
        <c:axId val="368006184"/>
      </c:barChart>
      <c:catAx>
        <c:axId val="376015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006184"/>
        <c:crosses val="autoZero"/>
        <c:auto val="1"/>
        <c:lblAlgn val="ctr"/>
        <c:lblOffset val="100"/>
        <c:noMultiLvlLbl val="0"/>
      </c:catAx>
      <c:valAx>
        <c:axId val="36800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6015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Demanda trimestral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11111111109E-2"/>
          <c:y val="0.31921296296296298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2'!$B$33:$D$33</c:f>
              <c:strCache>
                <c:ptCount val="3"/>
                <c:pt idx="0">
                  <c:v>Trimestre I</c:v>
                </c:pt>
                <c:pt idx="1">
                  <c:v>Trimestre II</c:v>
                </c:pt>
                <c:pt idx="2">
                  <c:v>Acumulada</c:v>
                </c:pt>
              </c:strCache>
            </c:strRef>
          </c:cat>
          <c:val>
            <c:numRef>
              <c:f>'Trimestre 2'!$B$34:$D$34</c:f>
              <c:numCache>
                <c:formatCode>General</c:formatCode>
                <c:ptCount val="3"/>
                <c:pt idx="0">
                  <c:v>152</c:v>
                </c:pt>
                <c:pt idx="1">
                  <c:v>193</c:v>
                </c:pt>
                <c:pt idx="2">
                  <c:v>345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68007360"/>
        <c:axId val="368006576"/>
      </c:barChart>
      <c:catAx>
        <c:axId val="36800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006576"/>
        <c:crosses val="autoZero"/>
        <c:auto val="1"/>
        <c:lblAlgn val="ctr"/>
        <c:lblOffset val="100"/>
        <c:noMultiLvlLbl val="0"/>
      </c:catAx>
      <c:valAx>
        <c:axId val="368006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6800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C608-5514-4C9B-833A-ABAC55E1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22</cp:revision>
  <dcterms:created xsi:type="dcterms:W3CDTF">2021-04-16T17:42:00Z</dcterms:created>
  <dcterms:modified xsi:type="dcterms:W3CDTF">2021-07-08T16:06:00Z</dcterms:modified>
</cp:coreProperties>
</file>