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BD" w:rsidRPr="00931398" w:rsidRDefault="00DB78BD" w:rsidP="00237CF5">
      <w:pPr>
        <w:spacing w:after="0" w:line="240" w:lineRule="auto"/>
        <w:jc w:val="left"/>
        <w:rPr>
          <w:rFonts w:cstheme="minorHAnsi"/>
          <w:lang w:val="es-SV"/>
        </w:rPr>
      </w:pPr>
    </w:p>
    <w:p w:rsidR="003E110E" w:rsidRPr="00931398" w:rsidRDefault="003E110E" w:rsidP="00237CF5">
      <w:pPr>
        <w:pStyle w:val="Ttulo1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s-SV"/>
        </w:rPr>
      </w:pPr>
      <w:r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 xml:space="preserve">La Dirección de Gestión Social sigue manteniendo la definición de espacios y mecanismos planteados en el Manual </w:t>
      </w:r>
      <w:r w:rsidR="0074088B"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>de Procedimientos de Participación Ciudadana aprobado en 2019, sin embargo, y siendo flexibles en el marco de la pandemia en este año 2</w:t>
      </w:r>
      <w:r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>02</w:t>
      </w:r>
      <w:r w:rsidR="00931398"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>1</w:t>
      </w:r>
      <w:r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 xml:space="preserve">, </w:t>
      </w:r>
      <w:r w:rsidR="0074088B"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>los procesos se hacen más expeditos en razón de las emergencia que pueda representar una solicitud</w:t>
      </w:r>
      <w:r w:rsidR="0038017F"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>.</w:t>
      </w:r>
      <w:r w:rsidR="009A584E" w:rsidRPr="00931398">
        <w:rPr>
          <w:rFonts w:asciiTheme="minorHAnsi" w:hAnsiTheme="minorHAnsi" w:cstheme="minorHAnsi"/>
          <w:color w:val="auto"/>
          <w:sz w:val="22"/>
          <w:szCs w:val="22"/>
          <w:lang w:val="es-SV"/>
        </w:rPr>
        <w:t xml:space="preserve"> Dándose algunas modalidades diferentes para la implementación de algunos mecanismos y espacios tal como se presenta en el cuadro siguiente:</w:t>
      </w:r>
    </w:p>
    <w:p w:rsidR="007404A4" w:rsidRPr="00931398" w:rsidRDefault="007404A4" w:rsidP="00D378AC">
      <w:pPr>
        <w:tabs>
          <w:tab w:val="left" w:pos="1080"/>
        </w:tabs>
        <w:spacing w:line="240" w:lineRule="auto"/>
        <w:jc w:val="left"/>
        <w:rPr>
          <w:rFonts w:cstheme="minorHAnsi"/>
        </w:rPr>
      </w:pPr>
    </w:p>
    <w:p w:rsidR="007404A4" w:rsidRPr="00931398" w:rsidRDefault="003E110E" w:rsidP="000F0545">
      <w:pPr>
        <w:pStyle w:val="Ttulo2"/>
        <w:jc w:val="left"/>
        <w:rPr>
          <w:rFonts w:asciiTheme="minorHAnsi" w:hAnsiTheme="minorHAnsi" w:cstheme="minorHAnsi"/>
        </w:rPr>
      </w:pPr>
      <w:r w:rsidRPr="00931398">
        <w:rPr>
          <w:rFonts w:asciiTheme="minorHAnsi" w:hAnsiTheme="minorHAnsi" w:cstheme="minorHAnsi"/>
        </w:rPr>
        <w:t>Mecanismos implementados por la dirección de gestión social</w:t>
      </w:r>
      <w:r w:rsidR="009E62E4" w:rsidRPr="0093139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tbl>
      <w:tblPr>
        <w:tblStyle w:val="Tabladecuadrcula4-nfasis6"/>
        <w:tblW w:w="12895" w:type="dxa"/>
        <w:tblLayout w:type="fixed"/>
        <w:tblLook w:val="04A0" w:firstRow="1" w:lastRow="0" w:firstColumn="1" w:lastColumn="0" w:noHBand="0" w:noVBand="1"/>
      </w:tblPr>
      <w:tblGrid>
        <w:gridCol w:w="1594"/>
        <w:gridCol w:w="2654"/>
        <w:gridCol w:w="3118"/>
        <w:gridCol w:w="2835"/>
        <w:gridCol w:w="2694"/>
      </w:tblGrid>
      <w:tr w:rsidR="00CC1B68" w:rsidRPr="00931398" w:rsidTr="00CC1B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A29A4E" w:themeFill="accent5" w:themeFillShade="BF"/>
          </w:tcPr>
          <w:p w:rsidR="00CC1B68" w:rsidRPr="00931398" w:rsidRDefault="00CC1B68" w:rsidP="007404A4">
            <w:pPr>
              <w:spacing w:line="240" w:lineRule="auto"/>
              <w:rPr>
                <w:rFonts w:cstheme="minorHAnsi"/>
                <w:color w:val="auto"/>
                <w:sz w:val="24"/>
                <w:szCs w:val="24"/>
              </w:rPr>
            </w:pPr>
            <w:r w:rsidRPr="00931398">
              <w:rPr>
                <w:rFonts w:cstheme="minorHAnsi"/>
                <w:color w:val="auto"/>
                <w:sz w:val="24"/>
                <w:szCs w:val="24"/>
              </w:rPr>
              <w:t>Nombre</w:t>
            </w:r>
          </w:p>
        </w:tc>
        <w:tc>
          <w:tcPr>
            <w:tcW w:w="2654" w:type="dxa"/>
            <w:shd w:val="clear" w:color="auto" w:fill="A29A4E" w:themeFill="accent5" w:themeFillShade="BF"/>
          </w:tcPr>
          <w:p w:rsidR="00CC1B68" w:rsidRPr="00931398" w:rsidRDefault="00CC1B68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398">
              <w:rPr>
                <w:rFonts w:cstheme="minorHAnsi"/>
                <w:color w:val="000000" w:themeColor="text1"/>
                <w:sz w:val="24"/>
                <w:szCs w:val="24"/>
              </w:rPr>
              <w:t>Definición</w:t>
            </w:r>
          </w:p>
        </w:tc>
        <w:tc>
          <w:tcPr>
            <w:tcW w:w="3118" w:type="dxa"/>
            <w:shd w:val="clear" w:color="auto" w:fill="A29A4E" w:themeFill="accent5" w:themeFillShade="BF"/>
          </w:tcPr>
          <w:p w:rsidR="00CC1B68" w:rsidRPr="00931398" w:rsidRDefault="00CC1B68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398">
              <w:rPr>
                <w:rFonts w:cstheme="minorHAnsi"/>
                <w:color w:val="000000" w:themeColor="text1"/>
                <w:sz w:val="24"/>
                <w:szCs w:val="24"/>
              </w:rPr>
              <w:t>Objetivo</w:t>
            </w:r>
          </w:p>
        </w:tc>
        <w:tc>
          <w:tcPr>
            <w:tcW w:w="2835" w:type="dxa"/>
            <w:shd w:val="clear" w:color="auto" w:fill="A29A4E" w:themeFill="accent5" w:themeFillShade="BF"/>
          </w:tcPr>
          <w:p w:rsidR="00CC1B68" w:rsidRPr="00931398" w:rsidRDefault="00CC1B68" w:rsidP="003C77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398">
              <w:rPr>
                <w:rFonts w:cstheme="minorHAnsi"/>
                <w:color w:val="000000" w:themeColor="text1"/>
                <w:sz w:val="24"/>
                <w:szCs w:val="24"/>
              </w:rPr>
              <w:t>Modalidad adoptada en 2021</w:t>
            </w:r>
          </w:p>
        </w:tc>
        <w:tc>
          <w:tcPr>
            <w:tcW w:w="2694" w:type="dxa"/>
            <w:shd w:val="clear" w:color="auto" w:fill="A29A4E" w:themeFill="accent5" w:themeFillShade="BF"/>
          </w:tcPr>
          <w:p w:rsidR="00CC1B68" w:rsidRPr="00931398" w:rsidRDefault="00CC1B68" w:rsidP="003C77D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398">
              <w:rPr>
                <w:rFonts w:cstheme="minorHAnsi"/>
                <w:color w:val="000000" w:themeColor="text1"/>
                <w:sz w:val="24"/>
                <w:szCs w:val="24"/>
              </w:rPr>
              <w:t>Ejecutado en el 1er trimestre 2021</w:t>
            </w:r>
          </w:p>
        </w:tc>
      </w:tr>
      <w:tr w:rsidR="00CC1B68" w:rsidRPr="00931398" w:rsidTr="00CC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shd w:val="clear" w:color="auto" w:fill="auto"/>
          </w:tcPr>
          <w:p w:rsidR="00CC1B68" w:rsidRPr="00931398" w:rsidRDefault="00CC1B68" w:rsidP="00B226EC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t>Comités Pro Obra Pública</w:t>
            </w:r>
          </w:p>
        </w:tc>
        <w:tc>
          <w:tcPr>
            <w:tcW w:w="2654" w:type="dxa"/>
            <w:shd w:val="clear" w:color="auto" w:fill="auto"/>
          </w:tcPr>
          <w:p w:rsidR="00CC1B68" w:rsidRPr="00931398" w:rsidRDefault="00CC1B68" w:rsidP="0038017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Es un grupo de personas que se designen en una comunidad, (pueden ser de la Junta Directiva o referentes de la zona). Para ejercer funciones antes, durante y después de la ejecución de una obra pública.</w:t>
            </w:r>
          </w:p>
        </w:tc>
        <w:tc>
          <w:tcPr>
            <w:tcW w:w="3118" w:type="dxa"/>
            <w:shd w:val="clear" w:color="auto" w:fill="auto"/>
          </w:tcPr>
          <w:p w:rsidR="00CC1B68" w:rsidRPr="00931398" w:rsidRDefault="00CC1B68" w:rsidP="00797A6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Garantizar la participación activa y de corresponsabilidad de la ciudadanía y otros actores locales para el desarrollo del trabajo por el MOPT dentro de una comunidad.</w:t>
            </w:r>
          </w:p>
        </w:tc>
        <w:tc>
          <w:tcPr>
            <w:tcW w:w="2835" w:type="dxa"/>
            <w:shd w:val="clear" w:color="auto" w:fill="F2F1E5" w:themeFill="accent5" w:themeFillTint="33"/>
          </w:tcPr>
          <w:p w:rsidR="00CC1B68" w:rsidRPr="00931398" w:rsidRDefault="00CC1B68" w:rsidP="0038017F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Se ha optado por hacer grupos de WhatsApp, para los proyectos que lo requieren, y ahí se ventila la información necesaria para dar el seguimiento. Esto sobre todo en los proyectos de San Salvador</w:t>
            </w:r>
          </w:p>
        </w:tc>
        <w:tc>
          <w:tcPr>
            <w:tcW w:w="2694" w:type="dxa"/>
            <w:shd w:val="clear" w:color="auto" w:fill="F2F1E5" w:themeFill="accent5" w:themeFillTint="33"/>
          </w:tcPr>
          <w:p w:rsidR="00CC1B68" w:rsidRPr="00931398" w:rsidRDefault="00CC1B68" w:rsidP="00206838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8 grupos de WhatsApp mediante los cuales, se les da seguimiento a la ejecución de obra.</w:t>
            </w:r>
          </w:p>
        </w:tc>
      </w:tr>
      <w:tr w:rsidR="00CC1B68" w:rsidRPr="00931398" w:rsidTr="00CC1B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</w:tcPr>
          <w:p w:rsidR="00CC1B68" w:rsidRPr="00931398" w:rsidRDefault="00CC1B68" w:rsidP="00B226EC">
            <w:pPr>
              <w:spacing w:after="0"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t>Consulta Ciudadana</w:t>
            </w:r>
          </w:p>
        </w:tc>
        <w:tc>
          <w:tcPr>
            <w:tcW w:w="2654" w:type="dxa"/>
          </w:tcPr>
          <w:p w:rsidR="00CC1B68" w:rsidRPr="00931398" w:rsidRDefault="00CC1B68" w:rsidP="00B226EC">
            <w:pPr>
              <w:spacing w:after="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eastAsia="+mn-ea" w:cstheme="minorHAnsi"/>
                <w:color w:val="000000"/>
                <w:lang w:val="es-SV" w:eastAsia="es-SV"/>
              </w:rPr>
              <w:t>Es un intercambio y recopilación de propuestas ciudadanas para la formulación, planificación y evaluación de las políticas, programas, presupuestos, y proyectos de gestión pública, y luego se socializa la relación de los aportes recibidos con la decisión adoptada.</w:t>
            </w:r>
          </w:p>
        </w:tc>
        <w:tc>
          <w:tcPr>
            <w:tcW w:w="3118" w:type="dxa"/>
          </w:tcPr>
          <w:p w:rsidR="00CC1B68" w:rsidRPr="00931398" w:rsidRDefault="00CC1B68" w:rsidP="00CC1B68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Conocer las expectativas, interés y propuestas de la población en relación con el tema en consulta</w:t>
            </w:r>
          </w:p>
        </w:tc>
        <w:tc>
          <w:tcPr>
            <w:tcW w:w="2835" w:type="dxa"/>
            <w:shd w:val="clear" w:color="auto" w:fill="F2F1E5" w:themeFill="accent5" w:themeFillTint="33"/>
          </w:tcPr>
          <w:p w:rsidR="00CC1B68" w:rsidRPr="00931398" w:rsidRDefault="00CC1B68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 xml:space="preserve">La comunicación sistemática vía redes sociales, facilita recolección de la opinión ciudadana sobre aspectos de un proyecto de su interés. </w:t>
            </w:r>
          </w:p>
          <w:p w:rsidR="00CC1B68" w:rsidRPr="00931398" w:rsidRDefault="00CC1B68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Y la visita domiciliaria (individual)</w:t>
            </w:r>
          </w:p>
        </w:tc>
        <w:tc>
          <w:tcPr>
            <w:tcW w:w="2694" w:type="dxa"/>
            <w:shd w:val="clear" w:color="auto" w:fill="F2F1E5" w:themeFill="accent5" w:themeFillTint="33"/>
          </w:tcPr>
          <w:p w:rsidR="00CC1B68" w:rsidRPr="00931398" w:rsidRDefault="00CC1B68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243 Visitas domiciliares realizadas para conocer opinión ciudadana sobre proyectos de obra pública. (Santa Lucia</w:t>
            </w:r>
            <w:r w:rsidR="002F0525" w:rsidRPr="00931398">
              <w:rPr>
                <w:rFonts w:cstheme="minorHAnsi"/>
              </w:rPr>
              <w:t>, Nueva Israel</w:t>
            </w:r>
            <w:r w:rsidRPr="00931398">
              <w:rPr>
                <w:rFonts w:cstheme="minorHAnsi"/>
              </w:rPr>
              <w:t>)</w:t>
            </w:r>
          </w:p>
          <w:p w:rsidR="00CC1B68" w:rsidRPr="00931398" w:rsidRDefault="00CC1B68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CC1B68" w:rsidRPr="00931398" w:rsidRDefault="00CC1B68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355 Visitas domiciliares realizadas para censar y/o apoyar en procesos de reubicación de comunidades.</w:t>
            </w:r>
            <w:r w:rsidR="002F0525" w:rsidRPr="00931398">
              <w:rPr>
                <w:rFonts w:cstheme="minorHAnsi"/>
              </w:rPr>
              <w:t xml:space="preserve"> </w:t>
            </w:r>
          </w:p>
          <w:p w:rsidR="00CC1B68" w:rsidRPr="00931398" w:rsidRDefault="00CC1B68" w:rsidP="00C14FE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670715" w:rsidRPr="00931398" w:rsidRDefault="00670715">
      <w:pPr>
        <w:spacing w:after="160" w:line="259" w:lineRule="auto"/>
        <w:jc w:val="left"/>
        <w:rPr>
          <w:rFonts w:cstheme="minorHAnsi"/>
        </w:rPr>
      </w:pPr>
      <w:r w:rsidRPr="00931398">
        <w:rPr>
          <w:rFonts w:cstheme="minorHAnsi"/>
        </w:rPr>
        <w:br w:type="page"/>
      </w:r>
    </w:p>
    <w:p w:rsidR="008810F5" w:rsidRPr="00931398" w:rsidRDefault="003E110E" w:rsidP="003E110E">
      <w:pPr>
        <w:pStyle w:val="Ttulo1"/>
        <w:spacing w:before="0" w:line="240" w:lineRule="auto"/>
        <w:jc w:val="left"/>
        <w:rPr>
          <w:rFonts w:asciiTheme="minorHAnsi" w:hAnsiTheme="minorHAnsi" w:cstheme="minorHAnsi"/>
          <w:sz w:val="28"/>
        </w:rPr>
      </w:pPr>
      <w:r w:rsidRPr="00931398">
        <w:rPr>
          <w:rFonts w:asciiTheme="minorHAnsi" w:hAnsiTheme="minorHAnsi" w:cstheme="minorHAnsi"/>
          <w:sz w:val="28"/>
        </w:rPr>
        <w:lastRenderedPageBreak/>
        <w:t>Espacios implementados por la dirección de gestión social</w:t>
      </w:r>
    </w:p>
    <w:tbl>
      <w:tblPr>
        <w:tblStyle w:val="Tabladecuadrcula4-nfasis5"/>
        <w:tblW w:w="12185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3402"/>
        <w:gridCol w:w="1842"/>
        <w:gridCol w:w="1984"/>
      </w:tblGrid>
      <w:tr w:rsidR="00206838" w:rsidRPr="00931398" w:rsidTr="00931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29A4E" w:themeFill="accent5" w:themeFillShade="BF"/>
          </w:tcPr>
          <w:p w:rsidR="00206838" w:rsidRPr="00931398" w:rsidRDefault="00206838" w:rsidP="007404A4">
            <w:pPr>
              <w:spacing w:line="240" w:lineRule="auto"/>
              <w:rPr>
                <w:rFonts w:cstheme="minorHAnsi"/>
                <w:color w:val="auto"/>
              </w:rPr>
            </w:pPr>
            <w:r w:rsidRPr="00931398">
              <w:rPr>
                <w:rFonts w:cstheme="minorHAnsi"/>
                <w:color w:val="auto"/>
              </w:rPr>
              <w:t>Nombre</w:t>
            </w:r>
          </w:p>
        </w:tc>
        <w:tc>
          <w:tcPr>
            <w:tcW w:w="3402" w:type="dxa"/>
            <w:shd w:val="clear" w:color="auto" w:fill="A29A4E" w:themeFill="accent5" w:themeFillShade="BF"/>
          </w:tcPr>
          <w:p w:rsidR="00206838" w:rsidRPr="00931398" w:rsidRDefault="00206838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31398">
              <w:rPr>
                <w:rFonts w:cstheme="minorHAnsi"/>
                <w:color w:val="auto"/>
              </w:rPr>
              <w:t>Definición</w:t>
            </w:r>
          </w:p>
        </w:tc>
        <w:tc>
          <w:tcPr>
            <w:tcW w:w="3402" w:type="dxa"/>
            <w:shd w:val="clear" w:color="auto" w:fill="A29A4E" w:themeFill="accent5" w:themeFillShade="BF"/>
          </w:tcPr>
          <w:p w:rsidR="00206838" w:rsidRPr="00931398" w:rsidRDefault="00206838" w:rsidP="007404A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31398">
              <w:rPr>
                <w:rFonts w:cstheme="minorHAnsi"/>
                <w:color w:val="auto"/>
              </w:rPr>
              <w:t>Objetivo</w:t>
            </w:r>
          </w:p>
        </w:tc>
        <w:tc>
          <w:tcPr>
            <w:tcW w:w="1842" w:type="dxa"/>
            <w:shd w:val="clear" w:color="auto" w:fill="A29A4E" w:themeFill="accent5" w:themeFillShade="BF"/>
          </w:tcPr>
          <w:p w:rsidR="00206838" w:rsidRPr="00931398" w:rsidRDefault="00206838" w:rsidP="00C14FE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931398">
              <w:rPr>
                <w:rFonts w:cstheme="minorHAnsi"/>
                <w:color w:val="auto"/>
              </w:rPr>
              <w:t>Modalidad Adoptada en 2020</w:t>
            </w:r>
          </w:p>
        </w:tc>
        <w:tc>
          <w:tcPr>
            <w:tcW w:w="1984" w:type="dxa"/>
            <w:shd w:val="clear" w:color="auto" w:fill="A29A4E" w:themeFill="accent5" w:themeFillShade="BF"/>
          </w:tcPr>
          <w:p w:rsidR="00206838" w:rsidRPr="00931398" w:rsidRDefault="00206838" w:rsidP="00C14FE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  <w:color w:val="auto"/>
              </w:rPr>
              <w:t>Ejecutado en 1er. Trimestre 2021</w:t>
            </w:r>
          </w:p>
        </w:tc>
      </w:tr>
      <w:tr w:rsidR="00206838" w:rsidRPr="00931398" w:rsidTr="00931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206838" w:rsidRPr="00931398" w:rsidRDefault="00206838" w:rsidP="007404A4">
            <w:pPr>
              <w:spacing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t>Teléfono Abierto</w:t>
            </w:r>
          </w:p>
        </w:tc>
        <w:tc>
          <w:tcPr>
            <w:tcW w:w="3402" w:type="dxa"/>
            <w:shd w:val="clear" w:color="auto" w:fill="auto"/>
          </w:tcPr>
          <w:p w:rsidR="00206838" w:rsidRPr="00931398" w:rsidRDefault="00206838" w:rsidP="00917B1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Es la posibilidad que la ciudadanía tiene para hacer uso de líneas fijas y de todas las aplicaciones de los teléfonos móviles, así como redes sociales y correos electrónico, que la DGS pone a disposición para recibir solicitudes, consultas, quejas, denuncias y reclamos.</w:t>
            </w:r>
          </w:p>
        </w:tc>
        <w:tc>
          <w:tcPr>
            <w:tcW w:w="3402" w:type="dxa"/>
            <w:shd w:val="clear" w:color="auto" w:fill="auto"/>
          </w:tcPr>
          <w:p w:rsidR="00206838" w:rsidRPr="00931398" w:rsidRDefault="00206838" w:rsidP="007404A4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Ofrecer a la ciudadanía una vía de comunicación directa que le facilite: reportar un problema, dar su opinión o sugerencias, dar seguimiento a solicitudes, coordinar visitas, entre otros temas de interés.</w:t>
            </w:r>
          </w:p>
        </w:tc>
        <w:tc>
          <w:tcPr>
            <w:tcW w:w="1842" w:type="dxa"/>
          </w:tcPr>
          <w:p w:rsidR="00206838" w:rsidRPr="00931398" w:rsidRDefault="00206838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Se ha facilitado y aumentado la obtención de videos, fotos por este medio. Sobre un caso demandado.</w:t>
            </w:r>
          </w:p>
          <w:p w:rsidR="00206838" w:rsidRPr="00931398" w:rsidRDefault="00206838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Los casos se reportan vía WhatsApp y luego se orienta a presentarlos por escrito, en algunos casos según emergencia, se atienden de inmediato.</w:t>
            </w:r>
          </w:p>
        </w:tc>
        <w:tc>
          <w:tcPr>
            <w:tcW w:w="1984" w:type="dxa"/>
            <w:shd w:val="clear" w:color="auto" w:fill="auto"/>
          </w:tcPr>
          <w:p w:rsidR="00206838" w:rsidRPr="00931398" w:rsidRDefault="00206838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78 (orientaciones telefónicas para la gestión de obra pública).</w:t>
            </w:r>
          </w:p>
          <w:p w:rsidR="00206838" w:rsidRPr="00931398" w:rsidRDefault="00206838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06838" w:rsidRPr="00931398" w:rsidRDefault="00206838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73 Atención de solicitudes por medio de WhatsApp.</w:t>
            </w:r>
          </w:p>
          <w:p w:rsidR="00206838" w:rsidRPr="00931398" w:rsidRDefault="00206838" w:rsidP="00C14FE9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206838" w:rsidRPr="00931398" w:rsidRDefault="00206838" w:rsidP="00922C3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9 Atenciones a denuncias recibidas por WhatsApp.</w:t>
            </w:r>
          </w:p>
        </w:tc>
      </w:tr>
      <w:tr w:rsidR="00206838" w:rsidRPr="00931398" w:rsidTr="00931398">
        <w:trPr>
          <w:trHeight w:val="5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6838" w:rsidRPr="00931398" w:rsidRDefault="00206838" w:rsidP="007404A4">
            <w:pPr>
              <w:spacing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lastRenderedPageBreak/>
              <w:t>Visita Técnica Social</w:t>
            </w:r>
          </w:p>
        </w:tc>
        <w:tc>
          <w:tcPr>
            <w:tcW w:w="3402" w:type="dxa"/>
          </w:tcPr>
          <w:p w:rsidR="00206838" w:rsidRPr="00931398" w:rsidRDefault="00206838" w:rsidP="00917B1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Es una visita de campo, en un territorio determinado por las personas solicitantes, para la cual se realiza previa coordinación entre las partes involucradas (solicitante, municipalidad, personal técnico y social del MOPT los actores pueden variar según el caso) a fin de identificar el problema y plantear posibles alternativas de corto y mediano plazo en el caso que esta se dé cuando se inicia un caso. También se pueden desarrollar las visitas de campo técnicas – sociales para verificar avances de obra y como se ha incorporado opinión de la gente; así como también cuando las obras ya han finalizado y se valora su funcionamiento. Se priorizará por atender las situaciones que afecten a las mujeres.</w:t>
            </w:r>
          </w:p>
        </w:tc>
        <w:tc>
          <w:tcPr>
            <w:tcW w:w="3402" w:type="dxa"/>
          </w:tcPr>
          <w:p w:rsidR="00206838" w:rsidRPr="00931398" w:rsidRDefault="00206838" w:rsidP="003E110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Identificar en el campo la dimensión de los problemas planteados por las comunidades/solicitantes, así como también las potencialidades de las obras en gestión de las obras en gestión a fin de buscar una solución apegada con la competencia institucional, disposición de recursos técnicos y financieros.</w:t>
            </w:r>
          </w:p>
        </w:tc>
        <w:tc>
          <w:tcPr>
            <w:tcW w:w="1842" w:type="dxa"/>
            <w:shd w:val="clear" w:color="auto" w:fill="F2F1E5" w:themeFill="accent5" w:themeFillTint="33"/>
          </w:tcPr>
          <w:p w:rsidR="00206838" w:rsidRPr="00931398" w:rsidRDefault="00206838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Se prioriza realizarla en conjunto con la otra área que le corresponde intervenir según el caso.</w:t>
            </w:r>
          </w:p>
        </w:tc>
        <w:tc>
          <w:tcPr>
            <w:tcW w:w="1984" w:type="dxa"/>
            <w:shd w:val="clear" w:color="auto" w:fill="auto"/>
          </w:tcPr>
          <w:p w:rsidR="00206838" w:rsidRPr="00931398" w:rsidRDefault="00922C3F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61 Visitas Técnicas Sociales.</w:t>
            </w:r>
          </w:p>
        </w:tc>
      </w:tr>
      <w:tr w:rsidR="00206838" w:rsidRPr="00931398" w:rsidTr="00931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206838" w:rsidRPr="00931398" w:rsidRDefault="00206838" w:rsidP="007404A4">
            <w:pPr>
              <w:spacing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t>Atención Personalizada</w:t>
            </w:r>
          </w:p>
        </w:tc>
        <w:tc>
          <w:tcPr>
            <w:tcW w:w="3402" w:type="dxa"/>
            <w:shd w:val="clear" w:color="auto" w:fill="auto"/>
          </w:tcPr>
          <w:p w:rsidR="00206838" w:rsidRPr="00931398" w:rsidRDefault="00206838" w:rsidP="00917B1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Es la acción de recibir, escuchar y brindar una atención integral a la ciudadanía de manera personalizada con una actitud de calidad y calidez ya sea en las instalaciones del MOPT, o en el territorio; procurando establecer una relación de confianza y de trabajo coordinado.</w:t>
            </w:r>
          </w:p>
        </w:tc>
        <w:tc>
          <w:tcPr>
            <w:tcW w:w="3402" w:type="dxa"/>
            <w:shd w:val="clear" w:color="auto" w:fill="auto"/>
          </w:tcPr>
          <w:p w:rsidR="00206838" w:rsidRPr="00931398" w:rsidRDefault="00206838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Atender de inmediato las demandas de la ciudadanía, para orientar y generar confianza en los procedimientos que el Ministerio ejecuta en correspondencia con el caso que se demande.</w:t>
            </w:r>
          </w:p>
        </w:tc>
        <w:tc>
          <w:tcPr>
            <w:tcW w:w="1842" w:type="dxa"/>
          </w:tcPr>
          <w:p w:rsidR="00206838" w:rsidRPr="00931398" w:rsidRDefault="0053082D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Se ha regresado a la modalidad inicial</w:t>
            </w:r>
          </w:p>
        </w:tc>
        <w:tc>
          <w:tcPr>
            <w:tcW w:w="1984" w:type="dxa"/>
            <w:shd w:val="clear" w:color="auto" w:fill="auto"/>
          </w:tcPr>
          <w:p w:rsidR="00206838" w:rsidRPr="00931398" w:rsidRDefault="0053082D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18 atenciones en la oficina.</w:t>
            </w:r>
          </w:p>
          <w:p w:rsidR="0053082D" w:rsidRPr="00931398" w:rsidRDefault="0053082D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53082D" w:rsidRPr="00931398" w:rsidRDefault="0053082D" w:rsidP="009D2782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2 atenciones en el territorio.</w:t>
            </w:r>
          </w:p>
        </w:tc>
      </w:tr>
      <w:tr w:rsidR="00206838" w:rsidRPr="00931398" w:rsidTr="00931398">
        <w:trPr>
          <w:trHeight w:val="2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06838" w:rsidRPr="00931398" w:rsidRDefault="00206838" w:rsidP="007404A4">
            <w:pPr>
              <w:spacing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lastRenderedPageBreak/>
              <w:t>Despacho Abierto</w:t>
            </w:r>
          </w:p>
        </w:tc>
        <w:tc>
          <w:tcPr>
            <w:tcW w:w="3402" w:type="dxa"/>
          </w:tcPr>
          <w:p w:rsidR="00206838" w:rsidRPr="00931398" w:rsidRDefault="00206838" w:rsidP="00917B1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Espacio de diálogo directo que abre el o la titular del MOPT con la población que lo solicite, para tratar temas de su interés relacionados con la gestión y competencia institucional, el cual será habilitado con base en un protocolo de atención de cada institución.</w:t>
            </w:r>
          </w:p>
        </w:tc>
        <w:tc>
          <w:tcPr>
            <w:tcW w:w="3402" w:type="dxa"/>
          </w:tcPr>
          <w:p w:rsidR="00206838" w:rsidRPr="00931398" w:rsidRDefault="00206838" w:rsidP="007404A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Facilitar el derecho de la ciudadanía al dialogo directo con funcionarios y funcionarias públicas a fin de que exponga sus temas de interés relacionada con la gestión, formulación, ejecución y evaluación de proyectos de competencia institucional.</w:t>
            </w:r>
          </w:p>
        </w:tc>
        <w:tc>
          <w:tcPr>
            <w:tcW w:w="1842" w:type="dxa"/>
            <w:shd w:val="clear" w:color="auto" w:fill="F2F1E5" w:themeFill="accent5" w:themeFillTint="33"/>
          </w:tcPr>
          <w:p w:rsidR="00206838" w:rsidRPr="00931398" w:rsidRDefault="00206838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El Ministro ha delegado al Director de DGS, para atender a municipalidades, diputados y otros.</w:t>
            </w:r>
          </w:p>
        </w:tc>
        <w:tc>
          <w:tcPr>
            <w:tcW w:w="1984" w:type="dxa"/>
            <w:shd w:val="clear" w:color="auto" w:fill="auto"/>
          </w:tcPr>
          <w:p w:rsidR="00206838" w:rsidRPr="00931398" w:rsidRDefault="005D2DA0" w:rsidP="005D2DA0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12</w:t>
            </w:r>
            <w:r w:rsidR="0053082D" w:rsidRPr="00931398">
              <w:rPr>
                <w:rFonts w:cstheme="minorHAnsi"/>
              </w:rPr>
              <w:t xml:space="preserve"> Atenciones a la ciudadanía por parte de</w:t>
            </w:r>
            <w:r w:rsidRPr="00931398">
              <w:rPr>
                <w:rFonts w:cstheme="minorHAnsi"/>
              </w:rPr>
              <w:t>l Director de Gestión Social</w:t>
            </w:r>
            <w:r w:rsidR="0053082D" w:rsidRPr="00931398">
              <w:rPr>
                <w:rFonts w:cstheme="minorHAnsi"/>
              </w:rPr>
              <w:t>.</w:t>
            </w:r>
          </w:p>
        </w:tc>
      </w:tr>
      <w:tr w:rsidR="00206838" w:rsidRPr="00931398" w:rsidTr="009313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206838" w:rsidRPr="00931398" w:rsidRDefault="00206838" w:rsidP="007404A4">
            <w:pPr>
              <w:spacing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t>Asambleas Comunitarias (informativas, consultivas y resolutivas)</w:t>
            </w:r>
          </w:p>
        </w:tc>
        <w:tc>
          <w:tcPr>
            <w:tcW w:w="3402" w:type="dxa"/>
            <w:shd w:val="clear" w:color="auto" w:fill="auto"/>
          </w:tcPr>
          <w:p w:rsidR="00206838" w:rsidRPr="00931398" w:rsidRDefault="00206838" w:rsidP="00C02F26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Es un espacio de encuentro que se da entre la comunidad, gobiernos municipales y el MOPT. Que permite informar, tomar decisiones, rendir cuentas, consultar, evaluar, validar proyectos y empoderar a la ciudadanía para su participación en los ciclos de desarrollo de un proyecto determinado.</w:t>
            </w:r>
          </w:p>
        </w:tc>
        <w:tc>
          <w:tcPr>
            <w:tcW w:w="3402" w:type="dxa"/>
            <w:shd w:val="clear" w:color="auto" w:fill="auto"/>
          </w:tcPr>
          <w:p w:rsidR="00206838" w:rsidRPr="00931398" w:rsidRDefault="00206838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Promover el diálogo, la planificación y la coordinación con las instituciones públicas en los procesos de toma de decisiones estratégicas que orienten y garanticen la gestión participativa del desarrollo del territorio.</w:t>
            </w:r>
          </w:p>
        </w:tc>
        <w:tc>
          <w:tcPr>
            <w:tcW w:w="1842" w:type="dxa"/>
          </w:tcPr>
          <w:p w:rsidR="00206838" w:rsidRPr="00931398" w:rsidRDefault="00206838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Se realizan en lugares abiertos, y manteniendo el distanciamiento y protocolos establecidos para la prevención de COVID.</w:t>
            </w:r>
          </w:p>
        </w:tc>
        <w:tc>
          <w:tcPr>
            <w:tcW w:w="1984" w:type="dxa"/>
            <w:shd w:val="clear" w:color="auto" w:fill="auto"/>
          </w:tcPr>
          <w:p w:rsidR="00206838" w:rsidRPr="00931398" w:rsidRDefault="0053082D" w:rsidP="007404A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10 Asambleas informativas o/o resolutivas</w:t>
            </w:r>
          </w:p>
        </w:tc>
      </w:tr>
      <w:tr w:rsidR="00CC1B68" w:rsidRPr="00931398" w:rsidTr="009313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auto"/>
          </w:tcPr>
          <w:p w:rsidR="00CC1B68" w:rsidRPr="00931398" w:rsidRDefault="00CC1B68" w:rsidP="007404A4">
            <w:pPr>
              <w:spacing w:line="240" w:lineRule="auto"/>
              <w:jc w:val="both"/>
              <w:rPr>
                <w:rFonts w:cstheme="minorHAnsi"/>
                <w:b w:val="0"/>
              </w:rPr>
            </w:pPr>
            <w:r w:rsidRPr="00931398">
              <w:rPr>
                <w:rFonts w:cstheme="minorHAnsi"/>
                <w:b w:val="0"/>
              </w:rPr>
              <w:t>Mesas técnicas interinstitucionales y ciudadanas</w:t>
            </w:r>
          </w:p>
        </w:tc>
        <w:tc>
          <w:tcPr>
            <w:tcW w:w="3402" w:type="dxa"/>
            <w:shd w:val="clear" w:color="auto" w:fill="auto"/>
          </w:tcPr>
          <w:p w:rsidR="00CC1B68" w:rsidRPr="00931398" w:rsidRDefault="00CC1B68" w:rsidP="00C02F2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  <w:lang w:val="es-SV"/>
              </w:rPr>
              <w:t>Es un espacio que se instala cuando un proyecto  debido a su magnitud o condiciones especiales requiere del consenso de diferentes actores, instituciones de gobierno, o de las mismas dependencias del MOPTVDU para definir posibles soluciones desde cada instancia o institución, con enfoque de mediano y largo plazo. Esta incentiva la contraloría social</w:t>
            </w:r>
          </w:p>
        </w:tc>
        <w:tc>
          <w:tcPr>
            <w:tcW w:w="3402" w:type="dxa"/>
            <w:shd w:val="clear" w:color="auto" w:fill="auto"/>
          </w:tcPr>
          <w:p w:rsidR="00CC1B68" w:rsidRPr="00931398" w:rsidRDefault="00CC1B68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 xml:space="preserve">Buscar la integración de los diferentes actores locales en el abordaje de una situación específica que enfrenta la ciudadanía de una comunidad, para proporcionar posibles soluciones de forma oportuna, </w:t>
            </w:r>
            <w:bookmarkStart w:id="0" w:name="_GoBack"/>
            <w:bookmarkEnd w:id="0"/>
            <w:r w:rsidRPr="00931398">
              <w:rPr>
                <w:rFonts w:cstheme="minorHAnsi"/>
              </w:rPr>
              <w:t>además de la forma idónea de optimizar los recursos existentes y el desarrollo de un proceso educativo para los involucrados en la gestión de las solicitudes.</w:t>
            </w:r>
          </w:p>
        </w:tc>
        <w:tc>
          <w:tcPr>
            <w:tcW w:w="1842" w:type="dxa"/>
            <w:shd w:val="clear" w:color="auto" w:fill="F2F1E5" w:themeFill="accent5" w:themeFillTint="33"/>
          </w:tcPr>
          <w:p w:rsidR="00CC1B68" w:rsidRPr="00931398" w:rsidRDefault="00CC1B68" w:rsidP="007404A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31398">
              <w:rPr>
                <w:rFonts w:cstheme="minorHAnsi"/>
              </w:rPr>
              <w:t>En correspondencia a la necesidad de existencia de la mesa.</w:t>
            </w:r>
          </w:p>
        </w:tc>
        <w:tc>
          <w:tcPr>
            <w:tcW w:w="1984" w:type="dxa"/>
            <w:shd w:val="clear" w:color="auto" w:fill="auto"/>
          </w:tcPr>
          <w:p w:rsidR="00CC1B68" w:rsidRPr="00931398" w:rsidRDefault="00581312" w:rsidP="00581312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5D2DA0" w:rsidRPr="0093139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Acciones (Reuniones presenciales, Virtuales).</w:t>
            </w:r>
          </w:p>
        </w:tc>
      </w:tr>
    </w:tbl>
    <w:p w:rsidR="008810F5" w:rsidRPr="00931398" w:rsidRDefault="008810F5" w:rsidP="007404A4">
      <w:pPr>
        <w:spacing w:line="240" w:lineRule="auto"/>
        <w:jc w:val="both"/>
        <w:rPr>
          <w:rFonts w:cstheme="minorHAnsi"/>
        </w:rPr>
      </w:pPr>
    </w:p>
    <w:sectPr w:rsidR="008810F5" w:rsidRPr="00931398" w:rsidSect="00CC1B68">
      <w:headerReference w:type="default" r:id="rId8"/>
      <w:footerReference w:type="default" r:id="rId9"/>
      <w:pgSz w:w="15840" w:h="12240" w:orient="landscape" w:code="1"/>
      <w:pgMar w:top="1701" w:right="1417" w:bottom="11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684" w:rsidRDefault="00F63684">
      <w:pPr>
        <w:spacing w:after="0" w:line="240" w:lineRule="auto"/>
      </w:pPr>
      <w:r>
        <w:separator/>
      </w:r>
    </w:p>
  </w:endnote>
  <w:endnote w:type="continuationSeparator" w:id="0">
    <w:p w:rsidR="00F63684" w:rsidRDefault="00F6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17293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3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535B" w:rsidRDefault="00F636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684" w:rsidRDefault="00F63684">
      <w:pPr>
        <w:spacing w:after="0" w:line="240" w:lineRule="auto"/>
      </w:pPr>
      <w:r>
        <w:separator/>
      </w:r>
    </w:p>
  </w:footnote>
  <w:footnote w:type="continuationSeparator" w:id="0">
    <w:p w:rsidR="00F63684" w:rsidRDefault="00F6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8BD" w:rsidRDefault="00D378AC">
    <w:pPr>
      <w:pStyle w:val="Encabezado"/>
    </w:pPr>
    <w:r>
      <w:rPr>
        <w:noProof/>
        <w:lang w:val="es-SV" w:eastAsia="es-SV"/>
      </w:rPr>
      <w:drawing>
        <wp:inline distT="0" distB="0" distL="0" distR="0" wp14:anchorId="509F4374" wp14:editId="08EBAACF">
          <wp:extent cx="1988820" cy="685671"/>
          <wp:effectExtent l="0" t="0" r="0" b="63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75" cy="72378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753F"/>
    <w:multiLevelType w:val="hybridMultilevel"/>
    <w:tmpl w:val="62F2613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D70DCE"/>
    <w:multiLevelType w:val="hybridMultilevel"/>
    <w:tmpl w:val="85769C04"/>
    <w:lvl w:ilvl="0" w:tplc="F2DC6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0E8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A40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04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AB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2B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EC0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E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3EE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3F5B9E"/>
    <w:multiLevelType w:val="hybridMultilevel"/>
    <w:tmpl w:val="0748D9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B3"/>
    <w:rsid w:val="00012F15"/>
    <w:rsid w:val="000243EA"/>
    <w:rsid w:val="00036F31"/>
    <w:rsid w:val="000460DF"/>
    <w:rsid w:val="00071EA9"/>
    <w:rsid w:val="000A4B78"/>
    <w:rsid w:val="000D2B8E"/>
    <w:rsid w:val="000E542A"/>
    <w:rsid w:val="000E7659"/>
    <w:rsid w:val="000F0545"/>
    <w:rsid w:val="00127157"/>
    <w:rsid w:val="00152392"/>
    <w:rsid w:val="00163ACC"/>
    <w:rsid w:val="00172939"/>
    <w:rsid w:val="001B1AFA"/>
    <w:rsid w:val="001E4C16"/>
    <w:rsid w:val="00202B4C"/>
    <w:rsid w:val="00206838"/>
    <w:rsid w:val="00226D39"/>
    <w:rsid w:val="00237CF5"/>
    <w:rsid w:val="002A1216"/>
    <w:rsid w:val="002B24B6"/>
    <w:rsid w:val="002F0525"/>
    <w:rsid w:val="00367D3F"/>
    <w:rsid w:val="0038017F"/>
    <w:rsid w:val="00394ACC"/>
    <w:rsid w:val="003C77D6"/>
    <w:rsid w:val="003E110E"/>
    <w:rsid w:val="0042146B"/>
    <w:rsid w:val="004744F2"/>
    <w:rsid w:val="00475175"/>
    <w:rsid w:val="00490509"/>
    <w:rsid w:val="004F1AEC"/>
    <w:rsid w:val="0053082D"/>
    <w:rsid w:val="005420B1"/>
    <w:rsid w:val="00581312"/>
    <w:rsid w:val="00591051"/>
    <w:rsid w:val="005D2DA0"/>
    <w:rsid w:val="00622FCE"/>
    <w:rsid w:val="006535AD"/>
    <w:rsid w:val="00670715"/>
    <w:rsid w:val="00682364"/>
    <w:rsid w:val="006B1965"/>
    <w:rsid w:val="006B7180"/>
    <w:rsid w:val="006D37F2"/>
    <w:rsid w:val="006F3102"/>
    <w:rsid w:val="007038B3"/>
    <w:rsid w:val="007404A4"/>
    <w:rsid w:val="0074088B"/>
    <w:rsid w:val="00741EC4"/>
    <w:rsid w:val="007561A1"/>
    <w:rsid w:val="007906DF"/>
    <w:rsid w:val="00797A65"/>
    <w:rsid w:val="007C4E70"/>
    <w:rsid w:val="007D58B1"/>
    <w:rsid w:val="007F15B7"/>
    <w:rsid w:val="0081546A"/>
    <w:rsid w:val="00817A86"/>
    <w:rsid w:val="00840F03"/>
    <w:rsid w:val="00853B85"/>
    <w:rsid w:val="008810F5"/>
    <w:rsid w:val="0090312A"/>
    <w:rsid w:val="0090451D"/>
    <w:rsid w:val="00917B1C"/>
    <w:rsid w:val="00922C3F"/>
    <w:rsid w:val="00931398"/>
    <w:rsid w:val="009404FE"/>
    <w:rsid w:val="0095781C"/>
    <w:rsid w:val="00963E32"/>
    <w:rsid w:val="009A584E"/>
    <w:rsid w:val="009A7627"/>
    <w:rsid w:val="009D2782"/>
    <w:rsid w:val="009E62E4"/>
    <w:rsid w:val="009F4C47"/>
    <w:rsid w:val="00A74777"/>
    <w:rsid w:val="00AB0E16"/>
    <w:rsid w:val="00AD4F14"/>
    <w:rsid w:val="00B226EC"/>
    <w:rsid w:val="00B703F7"/>
    <w:rsid w:val="00B8484B"/>
    <w:rsid w:val="00BB780A"/>
    <w:rsid w:val="00BF41D3"/>
    <w:rsid w:val="00BF4690"/>
    <w:rsid w:val="00BF4ADF"/>
    <w:rsid w:val="00C00FAD"/>
    <w:rsid w:val="00C02F26"/>
    <w:rsid w:val="00C060CE"/>
    <w:rsid w:val="00C14FE9"/>
    <w:rsid w:val="00C7588D"/>
    <w:rsid w:val="00CB17CC"/>
    <w:rsid w:val="00CC1B68"/>
    <w:rsid w:val="00CF785C"/>
    <w:rsid w:val="00D1388C"/>
    <w:rsid w:val="00D3413B"/>
    <w:rsid w:val="00D378AC"/>
    <w:rsid w:val="00D92A1B"/>
    <w:rsid w:val="00DA738A"/>
    <w:rsid w:val="00DB78BD"/>
    <w:rsid w:val="00E11172"/>
    <w:rsid w:val="00E129A8"/>
    <w:rsid w:val="00E17088"/>
    <w:rsid w:val="00E4371B"/>
    <w:rsid w:val="00E533FB"/>
    <w:rsid w:val="00E74EBB"/>
    <w:rsid w:val="00E83AF0"/>
    <w:rsid w:val="00EB78B7"/>
    <w:rsid w:val="00EF77AC"/>
    <w:rsid w:val="00F024FD"/>
    <w:rsid w:val="00F12FE0"/>
    <w:rsid w:val="00F4038A"/>
    <w:rsid w:val="00F63684"/>
    <w:rsid w:val="00F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CACF5B-997A-4BA2-8233-D9CBA61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8B3"/>
    <w:pPr>
      <w:spacing w:after="200" w:line="276" w:lineRule="auto"/>
      <w:jc w:val="center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7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0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A610D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3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B3"/>
    <w:rPr>
      <w:lang w:val="es-ES"/>
    </w:rPr>
  </w:style>
  <w:style w:type="table" w:styleId="Tablaconcuadrcula">
    <w:name w:val="Table Grid"/>
    <w:basedOn w:val="Tablanormal"/>
    <w:uiPriority w:val="59"/>
    <w:rsid w:val="007038B3"/>
    <w:pPr>
      <w:spacing w:after="0" w:line="240" w:lineRule="auto"/>
      <w:jc w:val="center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388C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2">
    <w:name w:val="Grid Table 4 Accent 2"/>
    <w:basedOn w:val="Tablanormal"/>
    <w:uiPriority w:val="49"/>
    <w:rsid w:val="00EF77AC"/>
    <w:pPr>
      <w:spacing w:after="0" w:line="240" w:lineRule="auto"/>
    </w:p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cuadrcula2-nfasis4">
    <w:name w:val="Grid Table 2 Accent 4"/>
    <w:basedOn w:val="Tablanormal"/>
    <w:uiPriority w:val="47"/>
    <w:rsid w:val="00817A86"/>
    <w:pPr>
      <w:spacing w:after="0" w:line="240" w:lineRule="auto"/>
    </w:pPr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817A86"/>
    <w:pPr>
      <w:spacing w:after="0" w:line="240" w:lineRule="auto"/>
    </w:p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F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ADF"/>
    <w:rPr>
      <w:rFonts w:ascii="Segoe UI" w:hAnsi="Segoe UI" w:cs="Segoe UI"/>
      <w:sz w:val="18"/>
      <w:szCs w:val="18"/>
      <w:lang w:val="es-ES"/>
    </w:rPr>
  </w:style>
  <w:style w:type="table" w:styleId="Tabladecuadrcula4-nfasis1">
    <w:name w:val="Grid Table 4 Accent 1"/>
    <w:basedOn w:val="Tablanormal"/>
    <w:uiPriority w:val="49"/>
    <w:rsid w:val="00C7588D"/>
    <w:pPr>
      <w:spacing w:after="0" w:line="240" w:lineRule="auto"/>
    </w:p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7588D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B7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8BD"/>
    <w:rPr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B78BD"/>
    <w:rPr>
      <w:rFonts w:asciiTheme="majorHAnsi" w:eastAsiaTheme="majorEastAsia" w:hAnsiTheme="majorHAnsi" w:cstheme="majorBidi"/>
      <w:color w:val="AA610D" w:themeColor="accent1" w:themeShade="BF"/>
      <w:sz w:val="32"/>
      <w:szCs w:val="32"/>
      <w:lang w:val="es-ES"/>
    </w:rPr>
  </w:style>
  <w:style w:type="table" w:styleId="Tabladecuadrcula6concolores-nfasis6">
    <w:name w:val="Grid Table 6 Colorful Accent 6"/>
    <w:basedOn w:val="Tablanormal"/>
    <w:uiPriority w:val="51"/>
    <w:rsid w:val="000F0545"/>
    <w:pPr>
      <w:spacing w:after="0" w:line="240" w:lineRule="auto"/>
    </w:pPr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F0545"/>
    <w:rPr>
      <w:rFonts w:asciiTheme="majorHAnsi" w:eastAsiaTheme="majorEastAsia" w:hAnsiTheme="majorHAnsi" w:cstheme="majorBidi"/>
      <w:color w:val="AA610D" w:themeColor="accent1" w:themeShade="BF"/>
      <w:sz w:val="26"/>
      <w:szCs w:val="26"/>
      <w:lang w:val="es-ES"/>
    </w:rPr>
  </w:style>
  <w:style w:type="table" w:styleId="Tabladecuadrcula1clara-nfasis5">
    <w:name w:val="Grid Table 1 Light Accent 5"/>
    <w:basedOn w:val="Tablanormal"/>
    <w:uiPriority w:val="46"/>
    <w:rsid w:val="0038017F"/>
    <w:pPr>
      <w:spacing w:after="0" w:line="240" w:lineRule="auto"/>
    </w:pPr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next w:val="Tabladecuadrcula4-nfasis5"/>
    <w:uiPriority w:val="49"/>
    <w:rsid w:val="00CC1B68"/>
    <w:pPr>
      <w:spacing w:after="0" w:line="240" w:lineRule="auto"/>
    </w:p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BF97-4D32-4AA4-AED6-29EDFC8F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Lourdes Parada Alfaro</dc:creator>
  <cp:keywords/>
  <dc:description/>
  <cp:lastModifiedBy>Maria Lourdes Parada Alfaro</cp:lastModifiedBy>
  <cp:revision>16</cp:revision>
  <cp:lastPrinted>2019-11-14T15:51:00Z</cp:lastPrinted>
  <dcterms:created xsi:type="dcterms:W3CDTF">2021-04-16T19:47:00Z</dcterms:created>
  <dcterms:modified xsi:type="dcterms:W3CDTF">2021-04-19T21:15:00Z</dcterms:modified>
</cp:coreProperties>
</file>