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BD" w:rsidRDefault="00DB78BD" w:rsidP="00237CF5">
      <w:pPr>
        <w:spacing w:after="0" w:line="240" w:lineRule="auto"/>
        <w:jc w:val="left"/>
        <w:rPr>
          <w:rFonts w:ascii="Times New Roman" w:hAnsi="Times New Roman" w:cs="Times New Roman"/>
          <w:lang w:val="es-SV"/>
        </w:rPr>
      </w:pPr>
    </w:p>
    <w:p w:rsidR="003E110E" w:rsidRDefault="003E110E" w:rsidP="00237CF5">
      <w:pPr>
        <w:pStyle w:val="Ttulo1"/>
        <w:spacing w:before="0" w:line="240" w:lineRule="auto"/>
        <w:jc w:val="both"/>
        <w:rPr>
          <w:color w:val="auto"/>
          <w:sz w:val="22"/>
          <w:szCs w:val="22"/>
          <w:lang w:val="es-SV"/>
        </w:rPr>
      </w:pPr>
      <w:r>
        <w:rPr>
          <w:color w:val="auto"/>
          <w:sz w:val="22"/>
          <w:szCs w:val="22"/>
          <w:lang w:val="es-SV"/>
        </w:rPr>
        <w:t xml:space="preserve">La Dirección de Gestión Social sigue manteniendo la definición de espacios y mecanismos planteados en el Manual </w:t>
      </w:r>
      <w:r w:rsidR="0074088B">
        <w:rPr>
          <w:color w:val="auto"/>
          <w:sz w:val="22"/>
          <w:szCs w:val="22"/>
          <w:lang w:val="es-SV"/>
        </w:rPr>
        <w:t>de Procedimientos de Participación Ciudadana aprobado en 2019, sin embargo, y siendo flexibles en el marco de la pandemia en este año 2</w:t>
      </w:r>
      <w:r>
        <w:rPr>
          <w:color w:val="auto"/>
          <w:sz w:val="22"/>
          <w:szCs w:val="22"/>
          <w:lang w:val="es-SV"/>
        </w:rPr>
        <w:t xml:space="preserve">020, </w:t>
      </w:r>
      <w:r w:rsidR="0074088B">
        <w:rPr>
          <w:color w:val="auto"/>
          <w:sz w:val="22"/>
          <w:szCs w:val="22"/>
          <w:lang w:val="es-SV"/>
        </w:rPr>
        <w:t>los procesos se hacen más expeditos en razón de las emergencia que pueda representar una solicitud</w:t>
      </w:r>
      <w:r w:rsidR="0038017F">
        <w:rPr>
          <w:color w:val="auto"/>
          <w:sz w:val="22"/>
          <w:szCs w:val="22"/>
          <w:lang w:val="es-SV"/>
        </w:rPr>
        <w:t>.</w:t>
      </w:r>
      <w:r w:rsidR="009A584E">
        <w:rPr>
          <w:color w:val="auto"/>
          <w:sz w:val="22"/>
          <w:szCs w:val="22"/>
          <w:lang w:val="es-SV"/>
        </w:rPr>
        <w:t xml:space="preserve"> Dándose algunas modalidades diferentes para la implementación de algunos mecanismos y espacios tal como se presenta en el cuadro siguiente:</w:t>
      </w:r>
    </w:p>
    <w:p w:rsidR="007404A4" w:rsidRPr="000F0545" w:rsidRDefault="007404A4" w:rsidP="00D378AC">
      <w:pPr>
        <w:tabs>
          <w:tab w:val="left" w:pos="1080"/>
        </w:tabs>
        <w:spacing w:line="240" w:lineRule="auto"/>
        <w:jc w:val="left"/>
        <w:rPr>
          <w:rFonts w:cstheme="minorHAnsi"/>
        </w:rPr>
      </w:pPr>
    </w:p>
    <w:p w:rsidR="007404A4" w:rsidRPr="000F0545" w:rsidRDefault="003E110E" w:rsidP="000F0545">
      <w:pPr>
        <w:pStyle w:val="Ttulo2"/>
        <w:jc w:val="left"/>
      </w:pPr>
      <w:r>
        <w:t>M</w:t>
      </w:r>
      <w:r w:rsidRPr="000F0545">
        <w:t>ecanismos implementados por la dirección de gestión social</w:t>
      </w:r>
    </w:p>
    <w:tbl>
      <w:tblPr>
        <w:tblStyle w:val="Tabladecuadrcula4-nfasis6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693"/>
        <w:gridCol w:w="2835"/>
        <w:gridCol w:w="2268"/>
      </w:tblGrid>
      <w:tr w:rsidR="00237CF5" w:rsidRPr="000F0545" w:rsidTr="00237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29A4E" w:themeFill="accent5" w:themeFillShade="BF"/>
          </w:tcPr>
          <w:p w:rsidR="008810F5" w:rsidRPr="0038017F" w:rsidRDefault="008810F5" w:rsidP="007404A4">
            <w:pPr>
              <w:spacing w:line="240" w:lineRule="auto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No.</w:t>
            </w:r>
          </w:p>
        </w:tc>
        <w:tc>
          <w:tcPr>
            <w:tcW w:w="1276" w:type="dxa"/>
            <w:shd w:val="clear" w:color="auto" w:fill="A29A4E" w:themeFill="accent5" w:themeFillShade="BF"/>
          </w:tcPr>
          <w:p w:rsidR="008810F5" w:rsidRPr="0038017F" w:rsidRDefault="008810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Nombre</w:t>
            </w:r>
          </w:p>
        </w:tc>
        <w:tc>
          <w:tcPr>
            <w:tcW w:w="2693" w:type="dxa"/>
            <w:shd w:val="clear" w:color="auto" w:fill="A29A4E" w:themeFill="accent5" w:themeFillShade="BF"/>
          </w:tcPr>
          <w:p w:rsidR="008810F5" w:rsidRPr="0038017F" w:rsidRDefault="008810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Definición</w:t>
            </w:r>
          </w:p>
        </w:tc>
        <w:tc>
          <w:tcPr>
            <w:tcW w:w="2835" w:type="dxa"/>
            <w:shd w:val="clear" w:color="auto" w:fill="A29A4E" w:themeFill="accent5" w:themeFillShade="BF"/>
          </w:tcPr>
          <w:p w:rsidR="008810F5" w:rsidRPr="0038017F" w:rsidRDefault="008810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Objetivo</w:t>
            </w:r>
          </w:p>
        </w:tc>
        <w:tc>
          <w:tcPr>
            <w:tcW w:w="2268" w:type="dxa"/>
            <w:shd w:val="clear" w:color="auto" w:fill="A29A4E" w:themeFill="accent5" w:themeFillShade="BF"/>
          </w:tcPr>
          <w:p w:rsidR="008810F5" w:rsidRPr="0038017F" w:rsidRDefault="0038017F" w:rsidP="0038017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38017F">
              <w:rPr>
                <w:rFonts w:cstheme="minorHAnsi"/>
                <w:color w:val="auto"/>
                <w:sz w:val="24"/>
                <w:szCs w:val="24"/>
              </w:rPr>
              <w:t>Modalidad adoptada en 2020</w:t>
            </w:r>
          </w:p>
        </w:tc>
      </w:tr>
      <w:tr w:rsidR="0038017F" w:rsidRPr="000F0545" w:rsidTr="00237C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:rsidR="008810F5" w:rsidRPr="000F0545" w:rsidRDefault="0038017F" w:rsidP="00B226E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810F5" w:rsidRPr="000F0545" w:rsidRDefault="007906DF" w:rsidP="00B226E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Comités Pro Obra Pública</w:t>
            </w:r>
          </w:p>
        </w:tc>
        <w:tc>
          <w:tcPr>
            <w:tcW w:w="2693" w:type="dxa"/>
            <w:shd w:val="clear" w:color="auto" w:fill="auto"/>
          </w:tcPr>
          <w:p w:rsidR="0038017F" w:rsidRPr="000F0545" w:rsidRDefault="007906DF" w:rsidP="0038017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 un grupo de personas que se designen en una comunidad, (pueden ser de la Junta Directiva o referentes de la zona). Para ejercer funciones antes, durante y después de la ejecución de una obra pública.</w:t>
            </w:r>
          </w:p>
        </w:tc>
        <w:tc>
          <w:tcPr>
            <w:tcW w:w="2835" w:type="dxa"/>
            <w:shd w:val="clear" w:color="auto" w:fill="auto"/>
          </w:tcPr>
          <w:p w:rsidR="008810F5" w:rsidRPr="000F0545" w:rsidRDefault="00B703F7" w:rsidP="00797A6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Garantizar la participación activa y de corresponsabilidad de la ciudadanía y otros actores locales para el desarrollo del trabajo por el MOPT</w:t>
            </w:r>
            <w:r w:rsidR="0042146B" w:rsidRPr="000F0545">
              <w:rPr>
                <w:rFonts w:cstheme="minorHAnsi"/>
              </w:rPr>
              <w:t xml:space="preserve"> </w:t>
            </w:r>
            <w:r w:rsidRPr="000F0545">
              <w:rPr>
                <w:rFonts w:cstheme="minorHAnsi"/>
              </w:rPr>
              <w:t>dentro de una comunidad.</w:t>
            </w:r>
          </w:p>
        </w:tc>
        <w:tc>
          <w:tcPr>
            <w:tcW w:w="2268" w:type="dxa"/>
            <w:shd w:val="clear" w:color="auto" w:fill="F2F1E5" w:themeFill="accent5" w:themeFillTint="33"/>
          </w:tcPr>
          <w:p w:rsidR="00B703F7" w:rsidRPr="000F0545" w:rsidRDefault="0038017F" w:rsidP="0038017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 ha optado por hacer grupos de WhatsApp, para los proyectos que lo requieren, y ahí se ventila la información necesaria para dar el seguimiento. Esto sobre todo en los proyectos de San Salvador</w:t>
            </w:r>
          </w:p>
        </w:tc>
      </w:tr>
      <w:tr w:rsidR="0038017F" w:rsidRPr="000F0545" w:rsidTr="00237C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D92A1B" w:rsidRPr="000F0545" w:rsidRDefault="00237CF5" w:rsidP="00237CF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6" w:type="dxa"/>
          </w:tcPr>
          <w:p w:rsidR="00D92A1B" w:rsidRPr="000F0545" w:rsidRDefault="00D92A1B" w:rsidP="00B226E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Consulta Ciudadana</w:t>
            </w:r>
          </w:p>
        </w:tc>
        <w:tc>
          <w:tcPr>
            <w:tcW w:w="2693" w:type="dxa"/>
          </w:tcPr>
          <w:p w:rsidR="00D92A1B" w:rsidRPr="000F0545" w:rsidRDefault="00591051" w:rsidP="00B226EC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eastAsia="+mn-ea" w:cstheme="minorHAnsi"/>
                <w:color w:val="000000"/>
                <w:lang w:val="es-SV" w:eastAsia="es-SV"/>
              </w:rPr>
              <w:t>Es un intercambio y recopilación de propuestas ciudadanas para la formulación, planificación y evaluación de las políticas, programas, presupuestos, y proyectos de gestión pública, y luego se socializa la relación de los aportes recibidos con la decisión adoptada.</w:t>
            </w:r>
          </w:p>
        </w:tc>
        <w:tc>
          <w:tcPr>
            <w:tcW w:w="2835" w:type="dxa"/>
          </w:tcPr>
          <w:p w:rsidR="00D92A1B" w:rsidRPr="000F0545" w:rsidRDefault="00591051" w:rsidP="0038017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Conocer las expectativas</w:t>
            </w:r>
            <w:r w:rsidR="003E110E" w:rsidRPr="000F0545">
              <w:rPr>
                <w:rFonts w:cstheme="minorHAnsi"/>
              </w:rPr>
              <w:t>, interés</w:t>
            </w:r>
            <w:r w:rsidRPr="000F0545">
              <w:rPr>
                <w:rFonts w:cstheme="minorHAnsi"/>
              </w:rPr>
              <w:t xml:space="preserve"> y propuestas de la población en relación con el tema en consulta</w:t>
            </w:r>
            <w:r w:rsidR="0038017F">
              <w:rPr>
                <w:rFonts w:cstheme="minorHAnsi"/>
              </w:rPr>
              <w:t>r</w:t>
            </w:r>
          </w:p>
        </w:tc>
        <w:tc>
          <w:tcPr>
            <w:tcW w:w="2268" w:type="dxa"/>
            <w:shd w:val="clear" w:color="auto" w:fill="F2F1E5" w:themeFill="accent5" w:themeFillTint="33"/>
          </w:tcPr>
          <w:p w:rsidR="00D92A1B" w:rsidRPr="000F0545" w:rsidRDefault="0038017F" w:rsidP="00C14FE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La comunicación sistemática vía redes sociales, facilita recolección de la opinión ciudadana sobre aspectos </w:t>
            </w:r>
            <w:r w:rsidR="00C14FE9">
              <w:rPr>
                <w:rFonts w:cstheme="minorHAnsi"/>
              </w:rPr>
              <w:t>de un proyecto de su interés.</w:t>
            </w:r>
          </w:p>
        </w:tc>
      </w:tr>
    </w:tbl>
    <w:p w:rsidR="00D92A1B" w:rsidRDefault="00D92A1B" w:rsidP="00BF41D3">
      <w:pPr>
        <w:spacing w:line="240" w:lineRule="auto"/>
        <w:jc w:val="left"/>
        <w:rPr>
          <w:rFonts w:cstheme="minorHAnsi"/>
        </w:rPr>
      </w:pPr>
    </w:p>
    <w:p w:rsidR="00670715" w:rsidRDefault="00670715" w:rsidP="00BF41D3">
      <w:pPr>
        <w:spacing w:line="240" w:lineRule="auto"/>
        <w:jc w:val="left"/>
        <w:rPr>
          <w:rFonts w:cstheme="minorHAnsi"/>
        </w:rPr>
      </w:pPr>
    </w:p>
    <w:p w:rsidR="00670715" w:rsidRDefault="00670715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:rsidR="00670715" w:rsidRPr="000F0545" w:rsidRDefault="00670715" w:rsidP="00BF41D3">
      <w:pPr>
        <w:spacing w:line="240" w:lineRule="auto"/>
        <w:jc w:val="left"/>
        <w:rPr>
          <w:rFonts w:cstheme="minorHAnsi"/>
        </w:rPr>
      </w:pPr>
    </w:p>
    <w:p w:rsidR="008810F5" w:rsidRPr="003E110E" w:rsidRDefault="003E110E" w:rsidP="003E110E">
      <w:pPr>
        <w:pStyle w:val="Ttulo1"/>
        <w:spacing w:before="0" w:line="240" w:lineRule="auto"/>
        <w:jc w:val="left"/>
        <w:rPr>
          <w:sz w:val="28"/>
        </w:rPr>
      </w:pPr>
      <w:r>
        <w:rPr>
          <w:sz w:val="28"/>
        </w:rPr>
        <w:t>E</w:t>
      </w:r>
      <w:r w:rsidRPr="003E110E">
        <w:rPr>
          <w:sz w:val="28"/>
        </w:rPr>
        <w:t>spacios implementados por la dirección de gestión social</w:t>
      </w:r>
    </w:p>
    <w:tbl>
      <w:tblPr>
        <w:tblStyle w:val="Tabladecuadrcula4-nfasis5"/>
        <w:tblW w:w="9634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2693"/>
        <w:gridCol w:w="2551"/>
      </w:tblGrid>
      <w:tr w:rsidR="00237CF5" w:rsidRPr="00C14FE9" w:rsidTr="00D37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29A4E" w:themeFill="accent5" w:themeFillShade="BF"/>
          </w:tcPr>
          <w:p w:rsidR="00237CF5" w:rsidRPr="00C14FE9" w:rsidRDefault="00237CF5" w:rsidP="007404A4">
            <w:pPr>
              <w:spacing w:line="240" w:lineRule="auto"/>
              <w:rPr>
                <w:rFonts w:cstheme="minorHAnsi"/>
                <w:b w:val="0"/>
                <w:color w:val="auto"/>
              </w:rPr>
            </w:pPr>
            <w:r w:rsidRPr="00C14FE9">
              <w:rPr>
                <w:rFonts w:cstheme="minorHAnsi"/>
                <w:color w:val="auto"/>
              </w:rPr>
              <w:t>Nombre</w:t>
            </w:r>
          </w:p>
        </w:tc>
        <w:tc>
          <w:tcPr>
            <w:tcW w:w="3119" w:type="dxa"/>
            <w:shd w:val="clear" w:color="auto" w:fill="A29A4E" w:themeFill="accent5" w:themeFillShade="BF"/>
          </w:tcPr>
          <w:p w:rsidR="00237CF5" w:rsidRPr="00C14FE9" w:rsidRDefault="00237C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C14FE9">
              <w:rPr>
                <w:rFonts w:cstheme="minorHAnsi"/>
                <w:color w:val="auto"/>
              </w:rPr>
              <w:t>Definición</w:t>
            </w:r>
          </w:p>
        </w:tc>
        <w:tc>
          <w:tcPr>
            <w:tcW w:w="2693" w:type="dxa"/>
            <w:shd w:val="clear" w:color="auto" w:fill="A29A4E" w:themeFill="accent5" w:themeFillShade="BF"/>
          </w:tcPr>
          <w:p w:rsidR="00237CF5" w:rsidRPr="00C14FE9" w:rsidRDefault="00237CF5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 w:rsidRPr="00C14FE9">
              <w:rPr>
                <w:rFonts w:cstheme="minorHAnsi"/>
                <w:color w:val="auto"/>
              </w:rPr>
              <w:t>Objetivo</w:t>
            </w:r>
          </w:p>
        </w:tc>
        <w:tc>
          <w:tcPr>
            <w:tcW w:w="2551" w:type="dxa"/>
            <w:shd w:val="clear" w:color="auto" w:fill="A29A4E" w:themeFill="accent5" w:themeFillShade="BF"/>
          </w:tcPr>
          <w:p w:rsidR="00237CF5" w:rsidRPr="00C14FE9" w:rsidRDefault="00237CF5" w:rsidP="00C14FE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color w:val="auto"/>
              </w:rPr>
              <w:t>Modalidad Adoptada en 2020</w:t>
            </w:r>
          </w:p>
        </w:tc>
      </w:tr>
      <w:tr w:rsidR="00237CF5" w:rsidRPr="000F0545" w:rsidTr="00D37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t>Teléfono Abierto</w:t>
            </w:r>
          </w:p>
        </w:tc>
        <w:tc>
          <w:tcPr>
            <w:tcW w:w="3119" w:type="dxa"/>
            <w:shd w:val="clear" w:color="auto" w:fill="auto"/>
          </w:tcPr>
          <w:p w:rsidR="00237CF5" w:rsidRPr="000F0545" w:rsidRDefault="00237CF5" w:rsidP="00917B1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 la posibilidad que la ciudadanía tiene para hacer uso de líneas fijas y de todas las aplicaciones de los teléfonos móviles, así como redes sociales y correos electrónico, que la DGS pone a disposición para recibir solicitudes, consultas, quejas, denuncias y reclamos.</w:t>
            </w:r>
          </w:p>
        </w:tc>
        <w:tc>
          <w:tcPr>
            <w:tcW w:w="2693" w:type="dxa"/>
            <w:shd w:val="clear" w:color="auto" w:fill="auto"/>
          </w:tcPr>
          <w:p w:rsidR="00237CF5" w:rsidRPr="000F0545" w:rsidRDefault="00237CF5" w:rsidP="007404A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Ofrecer a la ciudadanía una vía de comunicación directa que le facilite: reportar un problema, dar su opinión o sugerencias, dar seguimiento a solicitudes, coordinar visitas, entre otros temas de interés.</w:t>
            </w:r>
          </w:p>
        </w:tc>
        <w:tc>
          <w:tcPr>
            <w:tcW w:w="2551" w:type="dxa"/>
          </w:tcPr>
          <w:p w:rsidR="00237CF5" w:rsidRDefault="00237CF5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 ha facilitado y aumentado la obtención de videos, fotos por este medio. Sobre un caso demandado.</w:t>
            </w:r>
          </w:p>
          <w:p w:rsidR="00682364" w:rsidRPr="000F0545" w:rsidRDefault="00682364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Los casos se reportan vía WhatsApp y luego se orienta a presentarlos por escrito, en algunos casos según emergencia, se atienden de inmediato.</w:t>
            </w:r>
          </w:p>
        </w:tc>
      </w:tr>
      <w:tr w:rsidR="00237CF5" w:rsidRPr="000F0545" w:rsidTr="00D378AC">
        <w:trPr>
          <w:trHeight w:val="5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t>Visita Técnica Social</w:t>
            </w:r>
          </w:p>
        </w:tc>
        <w:tc>
          <w:tcPr>
            <w:tcW w:w="3119" w:type="dxa"/>
          </w:tcPr>
          <w:p w:rsidR="00237CF5" w:rsidRPr="000F0545" w:rsidRDefault="00237CF5" w:rsidP="00917B1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 una visita de campo, en un territorio determinado por las personas solicitantes, para la cual se realiza previa coordinación entre las partes involucradas (solicitante, municipalidad, personal técnico y social del MOPT los actores pueden variar según el caso) a fin de identificar el problema y plantear posibles alternativas de corto y mediano plazo en el caso que esta se dé cuando se inicia un caso. También se pueden desarrollar las visitas de campo técnicas – sociales para verificar avances de obra y como se ha incorporado opinión de la gente; así como también cuando las obras ya han finalizado y se valora su funcionamiento. Se priorizará por atender las situaciones que afecten a las mujeres.</w:t>
            </w:r>
          </w:p>
        </w:tc>
        <w:tc>
          <w:tcPr>
            <w:tcW w:w="2693" w:type="dxa"/>
          </w:tcPr>
          <w:p w:rsidR="00237CF5" w:rsidRPr="000F0545" w:rsidRDefault="00237CF5" w:rsidP="003E110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Identificar en el campo la dimensión de los problemas planteados por las comunidades</w:t>
            </w:r>
            <w:r>
              <w:rPr>
                <w:rFonts w:cstheme="minorHAnsi"/>
              </w:rPr>
              <w:t>/</w:t>
            </w:r>
            <w:r w:rsidRPr="000F0545">
              <w:rPr>
                <w:rFonts w:cstheme="minorHAnsi"/>
              </w:rPr>
              <w:t>solicitantes, así como también las potencialidades de las obras en gestión de las obras en gestión a fin de buscar una solución apegada con la competencia institucional, disposición de recursos técnicos y financieros.</w:t>
            </w:r>
          </w:p>
        </w:tc>
        <w:tc>
          <w:tcPr>
            <w:tcW w:w="2551" w:type="dxa"/>
            <w:shd w:val="clear" w:color="auto" w:fill="F2F1E5" w:themeFill="accent5" w:themeFillTint="33"/>
          </w:tcPr>
          <w:p w:rsidR="00237CF5" w:rsidRPr="000F0545" w:rsidRDefault="00237CF5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 prioriza realizarla en conjunto con la otra área que le corresponde intervenir según el caso.</w:t>
            </w:r>
          </w:p>
        </w:tc>
      </w:tr>
      <w:tr w:rsidR="00237CF5" w:rsidRPr="000F0545" w:rsidTr="00D37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t>Atención Personalizada</w:t>
            </w:r>
          </w:p>
        </w:tc>
        <w:tc>
          <w:tcPr>
            <w:tcW w:w="3119" w:type="dxa"/>
            <w:shd w:val="clear" w:color="auto" w:fill="auto"/>
          </w:tcPr>
          <w:p w:rsidR="00237CF5" w:rsidRPr="000F0545" w:rsidRDefault="00237CF5" w:rsidP="00917B1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 xml:space="preserve">Es la acción de recibir, escuchar y brindar una atención integral a la ciudadanía de manera personalizada con una actitud de </w:t>
            </w:r>
            <w:r w:rsidRPr="000F0545">
              <w:rPr>
                <w:rFonts w:cstheme="minorHAnsi"/>
              </w:rPr>
              <w:lastRenderedPageBreak/>
              <w:t>calidad y calidez ya sea en las instalaciones del MOPT, o en el territorio; procurando establecer una relación de confianza y de trabajo coordinado.</w:t>
            </w:r>
          </w:p>
        </w:tc>
        <w:tc>
          <w:tcPr>
            <w:tcW w:w="2693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lastRenderedPageBreak/>
              <w:t xml:space="preserve">Atender de inmediato las demandas de la ciudadanía, para orientar y generar confianza en los </w:t>
            </w:r>
            <w:r w:rsidRPr="000F0545">
              <w:rPr>
                <w:rFonts w:cstheme="minorHAnsi"/>
              </w:rPr>
              <w:lastRenderedPageBreak/>
              <w:t>procedimientos que el Ministerio ejecuta en correspondencia con el caso que se d</w:t>
            </w:r>
            <w:bookmarkStart w:id="0" w:name="_GoBack"/>
            <w:bookmarkEnd w:id="0"/>
            <w:r w:rsidRPr="000F0545">
              <w:rPr>
                <w:rFonts w:cstheme="minorHAnsi"/>
              </w:rPr>
              <w:t>emande.</w:t>
            </w:r>
          </w:p>
        </w:tc>
        <w:tc>
          <w:tcPr>
            <w:tcW w:w="2551" w:type="dxa"/>
          </w:tcPr>
          <w:p w:rsidR="00237CF5" w:rsidRDefault="00237CF5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Para este período se ha considerado en los informes atención personalizada, aquellas </w:t>
            </w:r>
            <w:r>
              <w:rPr>
                <w:rFonts w:cstheme="minorHAnsi"/>
              </w:rPr>
              <w:lastRenderedPageBreak/>
              <w:t>acciones que dan alivio a la necesidad de las comunidades en razón de la emergencia, como es la necesidad de alimento.</w:t>
            </w:r>
          </w:p>
          <w:p w:rsidR="00237CF5" w:rsidRDefault="00237CF5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La DGS apoya en la organización y distribución de alimentos en las zonas que se le asigne.</w:t>
            </w:r>
          </w:p>
          <w:p w:rsidR="00237CF5" w:rsidRPr="000F0545" w:rsidRDefault="00237CF5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Otra de las acciones consideradas es las visitas casa por casa que se realizan para dar información necesaria que antes de la pandemia se daba en Asambleas Ciudadanas.</w:t>
            </w:r>
          </w:p>
        </w:tc>
      </w:tr>
      <w:tr w:rsidR="00237CF5" w:rsidRPr="000F0545" w:rsidTr="00D378AC">
        <w:trPr>
          <w:trHeight w:val="2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lastRenderedPageBreak/>
              <w:t>Despacho Abierto</w:t>
            </w:r>
          </w:p>
        </w:tc>
        <w:tc>
          <w:tcPr>
            <w:tcW w:w="3119" w:type="dxa"/>
          </w:tcPr>
          <w:p w:rsidR="00237CF5" w:rsidRPr="000F0545" w:rsidRDefault="00237CF5" w:rsidP="00917B1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Espacio de diálogo directo que abre el o la titular del MOPT con la población que lo solicite, para tratar temas de su interés relacionados con la gestión y competencia institucional, el cual será habilitado con base en un protocolo de atención de cada institución.</w:t>
            </w:r>
          </w:p>
        </w:tc>
        <w:tc>
          <w:tcPr>
            <w:tcW w:w="2693" w:type="dxa"/>
          </w:tcPr>
          <w:p w:rsidR="00237CF5" w:rsidRPr="000F0545" w:rsidRDefault="00237CF5" w:rsidP="007404A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Facilitar el derecho de la ciudadanía al dialogo directo con funcionarios y funcionarias públicas a fin de que exponga sus temas de interés relacionada con la gestión, formulación, ejecución y evaluación de proyectos de competencia institucional.</w:t>
            </w:r>
          </w:p>
        </w:tc>
        <w:tc>
          <w:tcPr>
            <w:tcW w:w="2551" w:type="dxa"/>
            <w:shd w:val="clear" w:color="auto" w:fill="F2F1E5" w:themeFill="accent5" w:themeFillTint="33"/>
          </w:tcPr>
          <w:p w:rsidR="00237CF5" w:rsidRPr="000F0545" w:rsidRDefault="00237CF5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El Ministro ha delegado al Director de DGS, para atender a municipalidades, diputados y otros.</w:t>
            </w:r>
          </w:p>
        </w:tc>
      </w:tr>
      <w:tr w:rsidR="00237CF5" w:rsidRPr="000F0545" w:rsidTr="00D37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rPr>
                <w:rFonts w:cstheme="minorHAnsi"/>
              </w:rPr>
            </w:pPr>
            <w:r w:rsidRPr="000F0545">
              <w:rPr>
                <w:rFonts w:cstheme="minorHAnsi"/>
              </w:rPr>
              <w:t>Asambleas Comunitarias (informativas, consultivas y resolutivas)</w:t>
            </w:r>
          </w:p>
        </w:tc>
        <w:tc>
          <w:tcPr>
            <w:tcW w:w="3119" w:type="dxa"/>
            <w:shd w:val="clear" w:color="auto" w:fill="auto"/>
          </w:tcPr>
          <w:p w:rsidR="00237CF5" w:rsidRPr="000F0545" w:rsidRDefault="00237CF5" w:rsidP="00C02F26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Es un espacio de encuentro que se da entre la comunidad, gobiernos municipales y el MOPT. Que permite informar, tomar decisiones, rendir cuentas, consultar, evaluar, validar proyectos y empoderar a la ciudadanía para su participación en los ciclos de desarrollo de un proyecto determinado.</w:t>
            </w:r>
          </w:p>
        </w:tc>
        <w:tc>
          <w:tcPr>
            <w:tcW w:w="2693" w:type="dxa"/>
            <w:shd w:val="clear" w:color="auto" w:fill="auto"/>
          </w:tcPr>
          <w:p w:rsidR="00237CF5" w:rsidRPr="000F0545" w:rsidRDefault="00237CF5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0545">
              <w:rPr>
                <w:rFonts w:cstheme="minorHAnsi"/>
              </w:rPr>
              <w:t>Promover el diálogo, la planificación y la coordinación con las instituciones públicas en los procesos de toma de decisiones estratégicas que orienten y garanticen la gestión participativa del desarrollo del territorio.</w:t>
            </w:r>
          </w:p>
        </w:tc>
        <w:tc>
          <w:tcPr>
            <w:tcW w:w="2551" w:type="dxa"/>
          </w:tcPr>
          <w:p w:rsidR="00237CF5" w:rsidRPr="000F0545" w:rsidRDefault="00237CF5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 realizan en lugares abiertos, y manteniendo el distanciamiento y protocolos establecidos para la prevención de COVID.</w:t>
            </w:r>
          </w:p>
        </w:tc>
      </w:tr>
    </w:tbl>
    <w:p w:rsidR="008810F5" w:rsidRDefault="008810F5" w:rsidP="007404A4">
      <w:pPr>
        <w:spacing w:line="240" w:lineRule="auto"/>
        <w:jc w:val="both"/>
        <w:rPr>
          <w:rFonts w:cstheme="minorHAnsi"/>
        </w:rPr>
      </w:pPr>
    </w:p>
    <w:sectPr w:rsidR="008810F5" w:rsidSect="00B8484B">
      <w:headerReference w:type="default" r:id="rId8"/>
      <w:footerReference w:type="default" r:id="rId9"/>
      <w:pgSz w:w="12240" w:h="15840" w:code="1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75" w:rsidRDefault="00475175">
      <w:pPr>
        <w:spacing w:after="0" w:line="240" w:lineRule="auto"/>
      </w:pPr>
      <w:r>
        <w:separator/>
      </w:r>
    </w:p>
  </w:endnote>
  <w:endnote w:type="continuationSeparator" w:id="0">
    <w:p w:rsidR="00475175" w:rsidRDefault="0047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17293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8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535B" w:rsidRDefault="00475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75" w:rsidRDefault="00475175">
      <w:pPr>
        <w:spacing w:after="0" w:line="240" w:lineRule="auto"/>
      </w:pPr>
      <w:r>
        <w:separator/>
      </w:r>
    </w:p>
  </w:footnote>
  <w:footnote w:type="continuationSeparator" w:id="0">
    <w:p w:rsidR="00475175" w:rsidRDefault="00475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8BD" w:rsidRDefault="00D378AC">
    <w:pPr>
      <w:pStyle w:val="Encabezado"/>
    </w:pPr>
    <w:r>
      <w:rPr>
        <w:noProof/>
        <w:lang w:eastAsia="es-SV"/>
      </w:rPr>
      <w:drawing>
        <wp:inline distT="0" distB="0" distL="0" distR="0" wp14:anchorId="509F4374" wp14:editId="08EBAACF">
          <wp:extent cx="1988820" cy="685671"/>
          <wp:effectExtent l="0" t="0" r="0" b="63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75" cy="72378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7753F"/>
    <w:multiLevelType w:val="hybridMultilevel"/>
    <w:tmpl w:val="62F2613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D70DCE"/>
    <w:multiLevelType w:val="hybridMultilevel"/>
    <w:tmpl w:val="85769C04"/>
    <w:lvl w:ilvl="0" w:tplc="F2DC6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0E8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0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04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AB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2B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C0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E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3EE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D3F5B9E"/>
    <w:multiLevelType w:val="hybridMultilevel"/>
    <w:tmpl w:val="0748D9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B3"/>
    <w:rsid w:val="00012F15"/>
    <w:rsid w:val="000243EA"/>
    <w:rsid w:val="00036F31"/>
    <w:rsid w:val="000460DF"/>
    <w:rsid w:val="00071EA9"/>
    <w:rsid w:val="000A4B78"/>
    <w:rsid w:val="000D2B8E"/>
    <w:rsid w:val="000E542A"/>
    <w:rsid w:val="000E7659"/>
    <w:rsid w:val="000F0545"/>
    <w:rsid w:val="00127157"/>
    <w:rsid w:val="00152392"/>
    <w:rsid w:val="00163ACC"/>
    <w:rsid w:val="00172939"/>
    <w:rsid w:val="001B1AFA"/>
    <w:rsid w:val="001E4C16"/>
    <w:rsid w:val="00202B4C"/>
    <w:rsid w:val="00226D39"/>
    <w:rsid w:val="00237CF5"/>
    <w:rsid w:val="002A1216"/>
    <w:rsid w:val="002B24B6"/>
    <w:rsid w:val="00367D3F"/>
    <w:rsid w:val="0038017F"/>
    <w:rsid w:val="003E110E"/>
    <w:rsid w:val="0042146B"/>
    <w:rsid w:val="00475175"/>
    <w:rsid w:val="00490509"/>
    <w:rsid w:val="004F1AEC"/>
    <w:rsid w:val="005420B1"/>
    <w:rsid w:val="00591051"/>
    <w:rsid w:val="00622FCE"/>
    <w:rsid w:val="006535AD"/>
    <w:rsid w:val="00670715"/>
    <w:rsid w:val="00682364"/>
    <w:rsid w:val="006B1965"/>
    <w:rsid w:val="006B7180"/>
    <w:rsid w:val="006D37F2"/>
    <w:rsid w:val="006F3102"/>
    <w:rsid w:val="007038B3"/>
    <w:rsid w:val="007404A4"/>
    <w:rsid w:val="0074088B"/>
    <w:rsid w:val="007561A1"/>
    <w:rsid w:val="007906DF"/>
    <w:rsid w:val="00797A65"/>
    <w:rsid w:val="007C4E70"/>
    <w:rsid w:val="007D58B1"/>
    <w:rsid w:val="007F15B7"/>
    <w:rsid w:val="0081546A"/>
    <w:rsid w:val="00817A86"/>
    <w:rsid w:val="00853B85"/>
    <w:rsid w:val="008810F5"/>
    <w:rsid w:val="0090312A"/>
    <w:rsid w:val="00917B1C"/>
    <w:rsid w:val="009404FE"/>
    <w:rsid w:val="0095781C"/>
    <w:rsid w:val="00963E32"/>
    <w:rsid w:val="009A584E"/>
    <w:rsid w:val="009A7627"/>
    <w:rsid w:val="009D2782"/>
    <w:rsid w:val="009F4C47"/>
    <w:rsid w:val="00A74777"/>
    <w:rsid w:val="00AB0E16"/>
    <w:rsid w:val="00AD4F14"/>
    <w:rsid w:val="00B226EC"/>
    <w:rsid w:val="00B703F7"/>
    <w:rsid w:val="00B8484B"/>
    <w:rsid w:val="00BB780A"/>
    <w:rsid w:val="00BF41D3"/>
    <w:rsid w:val="00BF4690"/>
    <w:rsid w:val="00BF4ADF"/>
    <w:rsid w:val="00C00FAD"/>
    <w:rsid w:val="00C02F26"/>
    <w:rsid w:val="00C060CE"/>
    <w:rsid w:val="00C14FE9"/>
    <w:rsid w:val="00C7588D"/>
    <w:rsid w:val="00CB17CC"/>
    <w:rsid w:val="00CF785C"/>
    <w:rsid w:val="00D1388C"/>
    <w:rsid w:val="00D3413B"/>
    <w:rsid w:val="00D378AC"/>
    <w:rsid w:val="00D92A1B"/>
    <w:rsid w:val="00DA738A"/>
    <w:rsid w:val="00DB78BD"/>
    <w:rsid w:val="00E11172"/>
    <w:rsid w:val="00E129A8"/>
    <w:rsid w:val="00E17088"/>
    <w:rsid w:val="00E533FB"/>
    <w:rsid w:val="00E74EBB"/>
    <w:rsid w:val="00E83AF0"/>
    <w:rsid w:val="00EB78B7"/>
    <w:rsid w:val="00EF77AC"/>
    <w:rsid w:val="00F024FD"/>
    <w:rsid w:val="00F12FE0"/>
    <w:rsid w:val="00F4038A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ACF5B-997A-4BA2-8233-D9CBA61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B3"/>
    <w:pPr>
      <w:spacing w:after="200" w:line="276" w:lineRule="auto"/>
      <w:jc w:val="center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B7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0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3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B3"/>
    <w:rPr>
      <w:lang w:val="es-ES"/>
    </w:rPr>
  </w:style>
  <w:style w:type="table" w:styleId="Tablaconcuadrcula">
    <w:name w:val="Table Grid"/>
    <w:basedOn w:val="Tablanormal"/>
    <w:uiPriority w:val="59"/>
    <w:rsid w:val="007038B3"/>
    <w:pPr>
      <w:spacing w:after="0" w:line="240" w:lineRule="auto"/>
      <w:jc w:val="center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388C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4-nfasis2">
    <w:name w:val="Grid Table 4 Accent 2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cuadrcula2-nfasis4">
    <w:name w:val="Grid Table 2 Accent 4"/>
    <w:basedOn w:val="Tablanormal"/>
    <w:uiPriority w:val="47"/>
    <w:rsid w:val="00817A86"/>
    <w:pPr>
      <w:spacing w:after="0" w:line="240" w:lineRule="auto"/>
    </w:pPr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817A86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F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ADF"/>
    <w:rPr>
      <w:rFonts w:ascii="Segoe UI" w:hAnsi="Segoe UI" w:cs="Segoe UI"/>
      <w:sz w:val="18"/>
      <w:szCs w:val="18"/>
      <w:lang w:val="es-ES"/>
    </w:rPr>
  </w:style>
  <w:style w:type="table" w:styleId="Tabladecuadrcula4-nfasis1">
    <w:name w:val="Grid Table 4 Accent 1"/>
    <w:basedOn w:val="Tablanormal"/>
    <w:uiPriority w:val="49"/>
    <w:rsid w:val="00C7588D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7588D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B7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8BD"/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B78BD"/>
    <w:rPr>
      <w:rFonts w:asciiTheme="majorHAnsi" w:eastAsiaTheme="majorEastAsia" w:hAnsiTheme="majorHAnsi" w:cstheme="majorBidi"/>
      <w:color w:val="AA610D" w:themeColor="accent1" w:themeShade="BF"/>
      <w:sz w:val="32"/>
      <w:szCs w:val="32"/>
      <w:lang w:val="es-ES"/>
    </w:rPr>
  </w:style>
  <w:style w:type="table" w:styleId="Tabladecuadrcula6concolores-nfasis6">
    <w:name w:val="Grid Table 6 Colorful Accent 6"/>
    <w:basedOn w:val="Tablanormal"/>
    <w:uiPriority w:val="51"/>
    <w:rsid w:val="000F0545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F0545"/>
    <w:rPr>
      <w:rFonts w:asciiTheme="majorHAnsi" w:eastAsiaTheme="majorEastAsia" w:hAnsiTheme="majorHAnsi" w:cstheme="majorBidi"/>
      <w:color w:val="AA610D" w:themeColor="accent1" w:themeShade="BF"/>
      <w:sz w:val="26"/>
      <w:szCs w:val="26"/>
      <w:lang w:val="es-ES"/>
    </w:rPr>
  </w:style>
  <w:style w:type="table" w:styleId="Tabladecuadrcula1clara-nfasis5">
    <w:name w:val="Grid Table 1 Light Accent 5"/>
    <w:basedOn w:val="Tablanormal"/>
    <w:uiPriority w:val="46"/>
    <w:rsid w:val="0038017F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4D9B-BEA5-4858-98AC-E2393543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9</cp:revision>
  <cp:lastPrinted>2019-11-14T15:51:00Z</cp:lastPrinted>
  <dcterms:created xsi:type="dcterms:W3CDTF">2020-10-19T19:34:00Z</dcterms:created>
  <dcterms:modified xsi:type="dcterms:W3CDTF">2021-01-20T20:09:00Z</dcterms:modified>
</cp:coreProperties>
</file>