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3E3" w:rsidRPr="00EC241D" w:rsidRDefault="007653E3" w:rsidP="007653E3">
      <w:pPr>
        <w:spacing w:line="360" w:lineRule="auto"/>
        <w:jc w:val="center"/>
        <w:rPr>
          <w:rFonts w:ascii="Arial Narrow" w:hAnsi="Arial Narrow"/>
          <w:b/>
        </w:rPr>
      </w:pPr>
      <w:r w:rsidRPr="007653E3">
        <w:rPr>
          <w:rFonts w:ascii="Arial Narrow" w:hAnsi="Arial Narrow"/>
          <w:b/>
          <w:noProof/>
        </w:rPr>
        <w:drawing>
          <wp:inline distT="0" distB="0" distL="0" distR="0">
            <wp:extent cx="2257425" cy="895350"/>
            <wp:effectExtent l="0" t="0" r="9525" b="0"/>
            <wp:docPr id="2" name="Imagen 2" descr="C:\Users\marlon.campos\Desktop\header_seal_MOP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lon.campos\Desktop\header_seal_MOP_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E84" w:rsidRDefault="005C7E84" w:rsidP="005C7E84">
      <w:pPr>
        <w:spacing w:after="0" w:line="240" w:lineRule="auto"/>
        <w:jc w:val="center"/>
        <w:rPr>
          <w:rFonts w:ascii="Bembo Std" w:hAnsi="Bembo Std"/>
          <w:b/>
        </w:rPr>
      </w:pPr>
    </w:p>
    <w:p w:rsidR="005C7E84" w:rsidRDefault="005C7E84" w:rsidP="005C7E84">
      <w:pPr>
        <w:spacing w:after="0" w:line="240" w:lineRule="auto"/>
        <w:jc w:val="center"/>
        <w:rPr>
          <w:rFonts w:ascii="Bembo Std" w:hAnsi="Bembo Std"/>
          <w:b/>
        </w:rPr>
      </w:pPr>
      <w:r>
        <w:rPr>
          <w:rFonts w:ascii="Bembo Std" w:hAnsi="Bembo Std"/>
          <w:b/>
        </w:rPr>
        <w:t>DIRECCIÓN DE GESTIÓN SOCIAL</w:t>
      </w:r>
    </w:p>
    <w:p w:rsidR="000222D9" w:rsidRDefault="000222D9" w:rsidP="005C7E84">
      <w:pPr>
        <w:spacing w:after="0" w:line="240" w:lineRule="auto"/>
        <w:jc w:val="center"/>
        <w:rPr>
          <w:rFonts w:ascii="Bembo Std" w:hAnsi="Bembo Std"/>
          <w:b/>
        </w:rPr>
      </w:pPr>
      <w:r>
        <w:rPr>
          <w:rFonts w:ascii="Bembo Std" w:hAnsi="Bembo Std"/>
          <w:b/>
        </w:rPr>
        <w:t>INFORME DE PARTICIPACIÓN CIUDADANA EN EL 3ER. TRIMESTRE 2019</w:t>
      </w:r>
    </w:p>
    <w:p w:rsidR="002D0486" w:rsidRDefault="002D0486" w:rsidP="002D0486">
      <w:pPr>
        <w:spacing w:line="360" w:lineRule="auto"/>
        <w:rPr>
          <w:rFonts w:ascii="Bembo Std" w:hAnsi="Bembo Std"/>
          <w:b/>
        </w:rPr>
      </w:pPr>
    </w:p>
    <w:p w:rsidR="00ED1E07" w:rsidRDefault="00ED1E07" w:rsidP="00ED1E0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Los elementos </w:t>
      </w:r>
      <w:r w:rsidR="004D4401">
        <w:rPr>
          <w:rFonts w:ascii="Times New Roman" w:hAnsi="Times New Roman" w:cs="Times New Roman"/>
        </w:rPr>
        <w:t xml:space="preserve">que orienta </w:t>
      </w:r>
      <w:r w:rsidR="000222D9">
        <w:rPr>
          <w:rFonts w:ascii="Times New Roman" w:hAnsi="Times New Roman" w:cs="Times New Roman"/>
        </w:rPr>
        <w:t xml:space="preserve">la </w:t>
      </w:r>
      <w:r w:rsidR="004D4401">
        <w:rPr>
          <w:rFonts w:ascii="Times New Roman" w:hAnsi="Times New Roman" w:cs="Times New Roman"/>
        </w:rPr>
        <w:t>P</w:t>
      </w:r>
      <w:r w:rsidR="000222D9">
        <w:rPr>
          <w:rFonts w:ascii="Times New Roman" w:hAnsi="Times New Roman" w:cs="Times New Roman"/>
        </w:rPr>
        <w:t xml:space="preserve">articipación Ciudadana </w:t>
      </w:r>
      <w:r w:rsidR="004D4401">
        <w:rPr>
          <w:rFonts w:ascii="Times New Roman" w:hAnsi="Times New Roman" w:cs="Times New Roman"/>
        </w:rPr>
        <w:t>para realizar la gestión social</w:t>
      </w:r>
      <w:r>
        <w:rPr>
          <w:rFonts w:ascii="Times New Roman" w:hAnsi="Times New Roman" w:cs="Times New Roman"/>
        </w:rPr>
        <w:t xml:space="preserve"> </w:t>
      </w:r>
      <w:r w:rsidR="002D0486">
        <w:rPr>
          <w:rFonts w:ascii="Times New Roman" w:hAnsi="Times New Roman" w:cs="Times New Roman"/>
        </w:rPr>
        <w:t xml:space="preserve">se </w:t>
      </w:r>
      <w:r w:rsidR="005C7E84">
        <w:rPr>
          <w:rFonts w:ascii="Times New Roman" w:hAnsi="Times New Roman" w:cs="Times New Roman"/>
        </w:rPr>
        <w:t xml:space="preserve">recopilan en el denominado </w:t>
      </w:r>
      <w:r w:rsidRPr="002D0486">
        <w:rPr>
          <w:rFonts w:ascii="Times New Roman" w:hAnsi="Times New Roman" w:cs="Times New Roman"/>
          <w:b/>
          <w:i/>
        </w:rPr>
        <w:t>“</w:t>
      </w:r>
      <w:r w:rsidRPr="002D0486">
        <w:rPr>
          <w:rFonts w:ascii="Times New Roman" w:hAnsi="Times New Roman" w:cs="Times New Roman"/>
          <w:b/>
          <w:bCs/>
          <w:i/>
        </w:rPr>
        <w:t>Manual de Procedimientos de Participación Ciudadana con enfoque de Género, incluyendo tiempos de respuesta</w:t>
      </w:r>
      <w:r w:rsidR="005C7E84">
        <w:rPr>
          <w:rFonts w:ascii="Times New Roman" w:hAnsi="Times New Roman" w:cs="Times New Roman"/>
          <w:b/>
          <w:bCs/>
          <w:i/>
        </w:rPr>
        <w:t xml:space="preserve">”, </w:t>
      </w:r>
      <w:r w:rsidR="005C7E84">
        <w:rPr>
          <w:rFonts w:ascii="Times New Roman" w:hAnsi="Times New Roman" w:cs="Times New Roman"/>
        </w:rPr>
        <w:t xml:space="preserve">que tiene </w:t>
      </w:r>
      <w:r w:rsidR="002D0486">
        <w:rPr>
          <w:rFonts w:ascii="Times New Roman" w:hAnsi="Times New Roman" w:cs="Times New Roman"/>
        </w:rPr>
        <w:t xml:space="preserve">como </w:t>
      </w:r>
      <w:r>
        <w:rPr>
          <w:rFonts w:ascii="Times New Roman" w:hAnsi="Times New Roman" w:cs="Times New Roman"/>
        </w:rPr>
        <w:t>visión fundamental,</w:t>
      </w:r>
      <w:r w:rsidR="005C7E84">
        <w:rPr>
          <w:rFonts w:ascii="Times New Roman" w:hAnsi="Times New Roman" w:cs="Times New Roman"/>
        </w:rPr>
        <w:t xml:space="preserve"> </w:t>
      </w:r>
      <w:r w:rsidRPr="00003E3A">
        <w:rPr>
          <w:rFonts w:ascii="Times New Roman" w:hAnsi="Times New Roman" w:cs="Times New Roman"/>
        </w:rPr>
        <w:t>contribu</w:t>
      </w:r>
      <w:r>
        <w:rPr>
          <w:rFonts w:ascii="Times New Roman" w:hAnsi="Times New Roman" w:cs="Times New Roman"/>
        </w:rPr>
        <w:t xml:space="preserve">ir </w:t>
      </w:r>
      <w:r w:rsidRPr="00003E3A">
        <w:rPr>
          <w:rFonts w:ascii="Times New Roman" w:hAnsi="Times New Roman" w:cs="Times New Roman"/>
        </w:rPr>
        <w:t>al desarrollo local y nacional</w:t>
      </w:r>
      <w:r w:rsidR="005C7E84">
        <w:rPr>
          <w:rFonts w:ascii="Times New Roman" w:hAnsi="Times New Roman" w:cs="Times New Roman"/>
        </w:rPr>
        <w:t>,</w:t>
      </w:r>
      <w:r w:rsidRPr="00003E3A">
        <w:rPr>
          <w:rFonts w:ascii="Times New Roman" w:hAnsi="Times New Roman" w:cs="Times New Roman"/>
        </w:rPr>
        <w:t xml:space="preserve"> con la obra pública</w:t>
      </w:r>
      <w:r w:rsidR="005C7E84">
        <w:rPr>
          <w:rFonts w:ascii="Times New Roman" w:hAnsi="Times New Roman" w:cs="Times New Roman"/>
        </w:rPr>
        <w:t>:</w:t>
      </w:r>
      <w:r w:rsidR="002D0486">
        <w:rPr>
          <w:rFonts w:ascii="Times New Roman" w:hAnsi="Times New Roman" w:cs="Times New Roman"/>
        </w:rPr>
        <w:t xml:space="preserve"> </w:t>
      </w:r>
      <w:r w:rsidRPr="00003E3A">
        <w:rPr>
          <w:rFonts w:ascii="Times New Roman" w:hAnsi="Times New Roman" w:cs="Times New Roman"/>
        </w:rPr>
        <w:t>mediante la participación activa, organizada e incluyente de la población</w:t>
      </w:r>
      <w:r>
        <w:rPr>
          <w:rFonts w:ascii="Times New Roman" w:hAnsi="Times New Roman" w:cs="Times New Roman"/>
        </w:rPr>
        <w:t>, articulando</w:t>
      </w:r>
      <w:r w:rsidR="005C7E84">
        <w:rPr>
          <w:rFonts w:ascii="Times New Roman" w:hAnsi="Times New Roman" w:cs="Times New Roman"/>
        </w:rPr>
        <w:t xml:space="preserve"> con </w:t>
      </w:r>
      <w:r>
        <w:rPr>
          <w:rFonts w:ascii="Times New Roman" w:hAnsi="Times New Roman" w:cs="Times New Roman"/>
        </w:rPr>
        <w:t xml:space="preserve"> municipalidades y otros actores locales </w:t>
      </w:r>
      <w:r w:rsidR="005C7E84">
        <w:rPr>
          <w:rFonts w:ascii="Times New Roman" w:hAnsi="Times New Roman" w:cs="Times New Roman"/>
        </w:rPr>
        <w:t xml:space="preserve">con </w:t>
      </w:r>
      <w:r>
        <w:rPr>
          <w:rFonts w:ascii="Times New Roman" w:hAnsi="Times New Roman" w:cs="Times New Roman"/>
        </w:rPr>
        <w:t>interés</w:t>
      </w:r>
      <w:r w:rsidR="005C7E84">
        <w:rPr>
          <w:rFonts w:ascii="Times New Roman" w:hAnsi="Times New Roman" w:cs="Times New Roman"/>
        </w:rPr>
        <w:t xml:space="preserve"> en los procesos</w:t>
      </w:r>
      <w:r>
        <w:rPr>
          <w:rFonts w:ascii="Times New Roman" w:hAnsi="Times New Roman" w:cs="Times New Roman"/>
        </w:rPr>
        <w:t>.</w:t>
      </w:r>
    </w:p>
    <w:p w:rsidR="005C7E84" w:rsidRDefault="005C7E84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61965" w:rsidRDefault="005C7E84" w:rsidP="00ED1E0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Dirección de Gestión Social </w:t>
      </w:r>
      <w:r w:rsidR="004C5FBA">
        <w:rPr>
          <w:rFonts w:ascii="Times New Roman" w:hAnsi="Times New Roman" w:cs="Times New Roman"/>
        </w:rPr>
        <w:t xml:space="preserve">recibió </w:t>
      </w:r>
      <w:r>
        <w:rPr>
          <w:rFonts w:ascii="Times New Roman" w:hAnsi="Times New Roman" w:cs="Times New Roman"/>
        </w:rPr>
        <w:t>solicitudes de obra pública</w:t>
      </w:r>
      <w:r w:rsidR="004C5FBA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or escrito</w:t>
      </w:r>
      <w:r w:rsidR="004C5FBA">
        <w:rPr>
          <w:rFonts w:ascii="Times New Roman" w:hAnsi="Times New Roman" w:cs="Times New Roman"/>
        </w:rPr>
        <w:t xml:space="preserve"> en </w:t>
      </w:r>
      <w:r w:rsidR="007A5203">
        <w:rPr>
          <w:rFonts w:ascii="Times New Roman" w:hAnsi="Times New Roman" w:cs="Times New Roman"/>
        </w:rPr>
        <w:t xml:space="preserve">aumento </w:t>
      </w:r>
      <w:r w:rsidR="00661965">
        <w:rPr>
          <w:rFonts w:ascii="Times New Roman" w:hAnsi="Times New Roman" w:cs="Times New Roman"/>
        </w:rPr>
        <w:t>progresiv</w:t>
      </w:r>
      <w:r w:rsidR="004C5FBA">
        <w:rPr>
          <w:rFonts w:ascii="Times New Roman" w:hAnsi="Times New Roman" w:cs="Times New Roman"/>
        </w:rPr>
        <w:t xml:space="preserve">o </w:t>
      </w:r>
      <w:r w:rsidR="00661965">
        <w:rPr>
          <w:rFonts w:ascii="Times New Roman" w:hAnsi="Times New Roman" w:cs="Times New Roman"/>
        </w:rPr>
        <w:t>me</w:t>
      </w:r>
      <w:r w:rsidR="004C5FB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s</w:t>
      </w:r>
      <w:r w:rsidR="004C5FBA">
        <w:rPr>
          <w:rFonts w:ascii="Times New Roman" w:hAnsi="Times New Roman" w:cs="Times New Roman"/>
        </w:rPr>
        <w:t>ual,</w:t>
      </w:r>
      <w:r w:rsidR="007A5203">
        <w:rPr>
          <w:rFonts w:ascii="Times New Roman" w:hAnsi="Times New Roman" w:cs="Times New Roman"/>
        </w:rPr>
        <w:t xml:space="preserve"> </w:t>
      </w:r>
      <w:r w:rsidR="004C5FBA">
        <w:rPr>
          <w:rFonts w:ascii="Times New Roman" w:hAnsi="Times New Roman" w:cs="Times New Roman"/>
        </w:rPr>
        <w:t xml:space="preserve">recibiéndose en </w:t>
      </w:r>
      <w:r w:rsidR="007A5203">
        <w:rPr>
          <w:rFonts w:ascii="Times New Roman" w:hAnsi="Times New Roman" w:cs="Times New Roman"/>
        </w:rPr>
        <w:t xml:space="preserve">julio </w:t>
      </w:r>
      <w:r w:rsidR="00661965">
        <w:rPr>
          <w:rFonts w:ascii="Times New Roman" w:hAnsi="Times New Roman" w:cs="Times New Roman"/>
        </w:rPr>
        <w:t xml:space="preserve">125 solicitudes, </w:t>
      </w:r>
      <w:r w:rsidR="007A5203">
        <w:rPr>
          <w:rFonts w:ascii="Times New Roman" w:hAnsi="Times New Roman" w:cs="Times New Roman"/>
        </w:rPr>
        <w:t>en agosto</w:t>
      </w:r>
      <w:r w:rsidR="00661965">
        <w:rPr>
          <w:rFonts w:ascii="Times New Roman" w:hAnsi="Times New Roman" w:cs="Times New Roman"/>
        </w:rPr>
        <w:t xml:space="preserve"> 162 </w:t>
      </w:r>
      <w:r w:rsidR="007A5203">
        <w:rPr>
          <w:rFonts w:ascii="Times New Roman" w:hAnsi="Times New Roman" w:cs="Times New Roman"/>
        </w:rPr>
        <w:t>y en septiembre</w:t>
      </w:r>
      <w:r w:rsidR="00661965">
        <w:rPr>
          <w:rFonts w:ascii="Times New Roman" w:hAnsi="Times New Roman" w:cs="Times New Roman"/>
        </w:rPr>
        <w:t xml:space="preserve"> subió a 182.</w:t>
      </w:r>
    </w:p>
    <w:p w:rsidR="00661965" w:rsidRDefault="00661965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61965" w:rsidRDefault="00661965" w:rsidP="00ED1E0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50F04FC" wp14:editId="3C3F191B">
            <wp:extent cx="5810250" cy="346710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C7E84" w:rsidRDefault="005C7E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61965" w:rsidRDefault="00661965" w:rsidP="00ED1E0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La procedencia de </w:t>
      </w:r>
      <w:r w:rsidR="004C5FBA">
        <w:rPr>
          <w:rFonts w:ascii="Times New Roman" w:hAnsi="Times New Roman" w:cs="Times New Roman"/>
        </w:rPr>
        <w:t xml:space="preserve">las </w:t>
      </w:r>
      <w:r>
        <w:rPr>
          <w:rFonts w:ascii="Times New Roman" w:hAnsi="Times New Roman" w:cs="Times New Roman"/>
        </w:rPr>
        <w:t>solicitudes es mayormente de San Salvador, seguid</w:t>
      </w:r>
      <w:r w:rsidR="004C5FBA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del departamento de la Libertad y Sonsonate. E</w:t>
      </w:r>
      <w:r w:rsidR="00BC5B2C"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</w:rPr>
        <w:t>el caso del</w:t>
      </w:r>
      <w:r w:rsidR="00BC5B2C">
        <w:rPr>
          <w:rFonts w:ascii="Times New Roman" w:hAnsi="Times New Roman" w:cs="Times New Roman"/>
        </w:rPr>
        <w:t xml:space="preserve"> Departamento de La </w:t>
      </w:r>
      <w:r>
        <w:rPr>
          <w:rFonts w:ascii="Times New Roman" w:hAnsi="Times New Roman" w:cs="Times New Roman"/>
        </w:rPr>
        <w:t xml:space="preserve">Libertad </w:t>
      </w:r>
      <w:r w:rsidR="00997F22">
        <w:rPr>
          <w:rFonts w:ascii="Times New Roman" w:hAnsi="Times New Roman" w:cs="Times New Roman"/>
        </w:rPr>
        <w:t xml:space="preserve">la ampliación de la calle al Puerto ha </w:t>
      </w:r>
      <w:r w:rsidR="00BC5B2C">
        <w:rPr>
          <w:rFonts w:ascii="Times New Roman" w:hAnsi="Times New Roman" w:cs="Times New Roman"/>
        </w:rPr>
        <w:t xml:space="preserve">dejado </w:t>
      </w:r>
      <w:r w:rsidR="00997F22">
        <w:rPr>
          <w:rFonts w:ascii="Times New Roman" w:hAnsi="Times New Roman" w:cs="Times New Roman"/>
        </w:rPr>
        <w:t xml:space="preserve">daños colaterales, generando solicitudes por parte de la población </w:t>
      </w:r>
      <w:r w:rsidR="004C5FBA">
        <w:rPr>
          <w:rFonts w:ascii="Times New Roman" w:hAnsi="Times New Roman" w:cs="Times New Roman"/>
        </w:rPr>
        <w:t xml:space="preserve">que demandan obras para </w:t>
      </w:r>
      <w:r w:rsidR="00997F22">
        <w:rPr>
          <w:rFonts w:ascii="Times New Roman" w:hAnsi="Times New Roman" w:cs="Times New Roman"/>
        </w:rPr>
        <w:t>subsan</w:t>
      </w:r>
      <w:r w:rsidR="004C5FBA">
        <w:rPr>
          <w:rFonts w:ascii="Times New Roman" w:hAnsi="Times New Roman" w:cs="Times New Roman"/>
        </w:rPr>
        <w:t>ar</w:t>
      </w:r>
      <w:r w:rsidR="00997F22">
        <w:rPr>
          <w:rFonts w:ascii="Times New Roman" w:hAnsi="Times New Roman" w:cs="Times New Roman"/>
        </w:rPr>
        <w:t>.</w:t>
      </w:r>
    </w:p>
    <w:p w:rsidR="00661965" w:rsidRDefault="00661965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61965" w:rsidRDefault="007A69F6" w:rsidP="00ED1E0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52EEB76" wp14:editId="040BE1B7">
            <wp:extent cx="5612130" cy="3886200"/>
            <wp:effectExtent l="0" t="0" r="762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61965" w:rsidRDefault="00661965" w:rsidP="00A41B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69F6" w:rsidRDefault="007A69F6" w:rsidP="00ED1E0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relación con los trimestres anteriores, el aumento de la</w:t>
      </w:r>
      <w:r w:rsidR="0001485E">
        <w:rPr>
          <w:rFonts w:ascii="Times New Roman" w:hAnsi="Times New Roman" w:cs="Times New Roman"/>
        </w:rPr>
        <w:t xml:space="preserve">s solicitudes vía escrita </w:t>
      </w:r>
      <w:r>
        <w:rPr>
          <w:rFonts w:ascii="Times New Roman" w:hAnsi="Times New Roman" w:cs="Times New Roman"/>
        </w:rPr>
        <w:t xml:space="preserve">es significativo, </w:t>
      </w:r>
      <w:r w:rsidR="0006292B">
        <w:rPr>
          <w:rFonts w:ascii="Times New Roman" w:hAnsi="Times New Roman" w:cs="Times New Roman"/>
        </w:rPr>
        <w:t xml:space="preserve">tal como se observa en el </w:t>
      </w:r>
      <w:r>
        <w:rPr>
          <w:rFonts w:ascii="Times New Roman" w:hAnsi="Times New Roman" w:cs="Times New Roman"/>
        </w:rPr>
        <w:t>siguiente gráfico.</w:t>
      </w:r>
    </w:p>
    <w:p w:rsidR="007A69F6" w:rsidRDefault="00BC5B2C" w:rsidP="00A41B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5EFCD4E" wp14:editId="3BA40400">
            <wp:simplePos x="0" y="0"/>
            <wp:positionH relativeFrom="column">
              <wp:posOffset>34290</wp:posOffset>
            </wp:positionH>
            <wp:positionV relativeFrom="paragraph">
              <wp:posOffset>247650</wp:posOffset>
            </wp:positionV>
            <wp:extent cx="5574030" cy="1724025"/>
            <wp:effectExtent l="0" t="0" r="7620" b="9525"/>
            <wp:wrapTight wrapText="bothSides">
              <wp:wrapPolygon edited="0">
                <wp:start x="0" y="0"/>
                <wp:lineTo x="0" y="21481"/>
                <wp:lineTo x="21556" y="21481"/>
                <wp:lineTo x="21556" y="0"/>
                <wp:lineTo x="0" y="0"/>
              </wp:wrapPolygon>
            </wp:wrapTight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485E" w:rsidRDefault="00014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1485E" w:rsidRDefault="0001485E" w:rsidP="0001485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Este periodo se ha caracterizado por el aumento de recepción de solicitudes</w:t>
      </w:r>
      <w:r w:rsidR="00DD4456">
        <w:rPr>
          <w:rFonts w:ascii="Times New Roman" w:hAnsi="Times New Roman" w:cs="Times New Roman"/>
        </w:rPr>
        <w:t xml:space="preserve">; esto incluye </w:t>
      </w:r>
      <w:r>
        <w:rPr>
          <w:rFonts w:ascii="Times New Roman" w:hAnsi="Times New Roman" w:cs="Times New Roman"/>
        </w:rPr>
        <w:t xml:space="preserve">vía redes </w:t>
      </w:r>
      <w:r w:rsidR="00DD4456">
        <w:rPr>
          <w:rFonts w:ascii="Times New Roman" w:hAnsi="Times New Roman" w:cs="Times New Roman"/>
        </w:rPr>
        <w:t>Twitter, Facebook, desde las cuales la ciudadanía mantiene una comunicación constante con las cuentas asignadas por el Ministerio</w:t>
      </w:r>
      <w:r w:rsidR="00DD4456">
        <w:rPr>
          <w:rFonts w:ascii="Times New Roman" w:hAnsi="Times New Roman" w:cs="Times New Roman"/>
        </w:rPr>
        <w:t xml:space="preserve">. Las solicitudes vía redes </w:t>
      </w:r>
      <w:r>
        <w:rPr>
          <w:rFonts w:ascii="Times New Roman" w:hAnsi="Times New Roman" w:cs="Times New Roman"/>
        </w:rPr>
        <w:t>ha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sobrepasado a las recibidas por escrito en el tercer trimestre de 2019, ascendiendo </w:t>
      </w:r>
      <w:r w:rsidRPr="0001485E">
        <w:rPr>
          <w:rFonts w:ascii="Times New Roman" w:hAnsi="Times New Roman" w:cs="Times New Roman"/>
        </w:rPr>
        <w:t>a 754  del</w:t>
      </w:r>
      <w:r>
        <w:rPr>
          <w:rFonts w:ascii="Times New Roman" w:hAnsi="Times New Roman" w:cs="Times New Roman"/>
        </w:rPr>
        <w:t xml:space="preserve"> 4 de junio al 16 de agosto.</w:t>
      </w:r>
    </w:p>
    <w:p w:rsidR="00DD4456" w:rsidRDefault="00DD4456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D4456" w:rsidRDefault="00072FCB" w:rsidP="00ED1E0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</w:t>
      </w:r>
      <w:r w:rsidR="009142C7">
        <w:rPr>
          <w:rFonts w:ascii="Times New Roman" w:hAnsi="Times New Roman" w:cs="Times New Roman"/>
        </w:rPr>
        <w:t xml:space="preserve">lo referido a espacios de participación ciudadana, el </w:t>
      </w:r>
      <w:r w:rsidR="009142C7" w:rsidRPr="006E5D79">
        <w:rPr>
          <w:rFonts w:ascii="Times New Roman" w:hAnsi="Times New Roman" w:cs="Times New Roman"/>
          <w:b/>
        </w:rPr>
        <w:t>“Teléfono Abierto”</w:t>
      </w:r>
      <w:r w:rsidR="009142C7">
        <w:rPr>
          <w:rFonts w:ascii="Times New Roman" w:hAnsi="Times New Roman" w:cs="Times New Roman"/>
        </w:rPr>
        <w:t xml:space="preserve"> ha tenido mayor uso por la población en este periodo</w:t>
      </w:r>
      <w:r w:rsidR="0001485E">
        <w:rPr>
          <w:rFonts w:ascii="Times New Roman" w:hAnsi="Times New Roman" w:cs="Times New Roman"/>
        </w:rPr>
        <w:t>, a</w:t>
      </w:r>
      <w:r w:rsidR="009142C7">
        <w:rPr>
          <w:rFonts w:ascii="Times New Roman" w:hAnsi="Times New Roman" w:cs="Times New Roman"/>
        </w:rPr>
        <w:t>tendiendo un total de 5,237 personas</w:t>
      </w:r>
      <w:r w:rsidR="0001485E">
        <w:rPr>
          <w:rFonts w:ascii="Times New Roman" w:hAnsi="Times New Roman" w:cs="Times New Roman"/>
        </w:rPr>
        <w:t xml:space="preserve"> (</w:t>
      </w:r>
      <w:r w:rsidR="009142C7">
        <w:rPr>
          <w:rFonts w:ascii="Times New Roman" w:hAnsi="Times New Roman" w:cs="Times New Roman"/>
        </w:rPr>
        <w:t>1,090 fueron mujeres y jóvenes 39</w:t>
      </w:r>
      <w:r w:rsidR="0001485E">
        <w:rPr>
          <w:rFonts w:ascii="Times New Roman" w:hAnsi="Times New Roman" w:cs="Times New Roman"/>
        </w:rPr>
        <w:t>)</w:t>
      </w:r>
      <w:r w:rsidR="009142C7">
        <w:rPr>
          <w:rFonts w:ascii="Times New Roman" w:hAnsi="Times New Roman" w:cs="Times New Roman"/>
        </w:rPr>
        <w:t>.</w:t>
      </w:r>
    </w:p>
    <w:p w:rsidR="00DD4456" w:rsidRDefault="00DD4456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142C7" w:rsidRDefault="009142C7" w:rsidP="00ED1E0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DD4456">
        <w:rPr>
          <w:rFonts w:ascii="Times New Roman" w:hAnsi="Times New Roman" w:cs="Times New Roman"/>
        </w:rPr>
        <w:t xml:space="preserve">as </w:t>
      </w:r>
      <w:r w:rsidR="006E5D79" w:rsidRPr="006E5D79">
        <w:rPr>
          <w:rFonts w:ascii="Times New Roman" w:hAnsi="Times New Roman" w:cs="Times New Roman"/>
          <w:b/>
        </w:rPr>
        <w:t>“I</w:t>
      </w:r>
      <w:r w:rsidRPr="006E5D79">
        <w:rPr>
          <w:rFonts w:ascii="Times New Roman" w:hAnsi="Times New Roman" w:cs="Times New Roman"/>
          <w:b/>
        </w:rPr>
        <w:t xml:space="preserve">nspecciones </w:t>
      </w:r>
      <w:r w:rsidR="006E5D79" w:rsidRPr="006E5D79">
        <w:rPr>
          <w:rFonts w:ascii="Times New Roman" w:hAnsi="Times New Roman" w:cs="Times New Roman"/>
          <w:b/>
        </w:rPr>
        <w:t>T</w:t>
      </w:r>
      <w:r w:rsidRPr="006E5D79">
        <w:rPr>
          <w:rFonts w:ascii="Times New Roman" w:hAnsi="Times New Roman" w:cs="Times New Roman"/>
          <w:b/>
        </w:rPr>
        <w:t xml:space="preserve">écnicas </w:t>
      </w:r>
      <w:r w:rsidR="006E5D79" w:rsidRPr="006E5D79">
        <w:rPr>
          <w:rFonts w:ascii="Times New Roman" w:hAnsi="Times New Roman" w:cs="Times New Roman"/>
          <w:b/>
        </w:rPr>
        <w:t>S</w:t>
      </w:r>
      <w:r w:rsidRPr="006E5D79">
        <w:rPr>
          <w:rFonts w:ascii="Times New Roman" w:hAnsi="Times New Roman" w:cs="Times New Roman"/>
          <w:b/>
        </w:rPr>
        <w:t>ociales</w:t>
      </w:r>
      <w:r w:rsidR="006E5D79" w:rsidRPr="006E5D79">
        <w:rPr>
          <w:rFonts w:ascii="Times New Roman" w:hAnsi="Times New Roman" w:cs="Times New Roman"/>
          <w:b/>
        </w:rPr>
        <w:t>”</w:t>
      </w:r>
      <w:r w:rsidR="00DD4456">
        <w:rPr>
          <w:rFonts w:ascii="Times New Roman" w:hAnsi="Times New Roman" w:cs="Times New Roman"/>
          <w:b/>
        </w:rPr>
        <w:t xml:space="preserve">, </w:t>
      </w:r>
      <w:r w:rsidR="00DD4456" w:rsidRPr="00DD4456">
        <w:rPr>
          <w:rFonts w:ascii="Times New Roman" w:hAnsi="Times New Roman" w:cs="Times New Roman"/>
        </w:rPr>
        <w:t>se han priorizado</w:t>
      </w:r>
      <w:r w:rsidR="00AD74B5">
        <w:rPr>
          <w:rFonts w:ascii="Times New Roman" w:hAnsi="Times New Roman" w:cs="Times New Roman"/>
        </w:rPr>
        <w:t xml:space="preserve"> considerando la demanda del trimestre que asciende a 469</w:t>
      </w:r>
      <w:r w:rsidR="004C3A70">
        <w:rPr>
          <w:rFonts w:ascii="Times New Roman" w:hAnsi="Times New Roman" w:cs="Times New Roman"/>
        </w:rPr>
        <w:t>, realiz</w:t>
      </w:r>
      <w:r w:rsidR="00AD74B5">
        <w:rPr>
          <w:rFonts w:ascii="Times New Roman" w:hAnsi="Times New Roman" w:cs="Times New Roman"/>
        </w:rPr>
        <w:t>án</w:t>
      </w:r>
      <w:r w:rsidR="004C3A70">
        <w:rPr>
          <w:rFonts w:ascii="Times New Roman" w:hAnsi="Times New Roman" w:cs="Times New Roman"/>
        </w:rPr>
        <w:t>do</w:t>
      </w:r>
      <w:r w:rsidR="00AD74B5">
        <w:rPr>
          <w:rFonts w:ascii="Times New Roman" w:hAnsi="Times New Roman" w:cs="Times New Roman"/>
        </w:rPr>
        <w:t>se</w:t>
      </w:r>
      <w:r w:rsidR="004C3A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264 inspecciones en </w:t>
      </w:r>
      <w:r w:rsidR="009D2304">
        <w:rPr>
          <w:rFonts w:ascii="Times New Roman" w:hAnsi="Times New Roman" w:cs="Times New Roman"/>
        </w:rPr>
        <w:t xml:space="preserve">diferentes lugares del </w:t>
      </w:r>
      <w:r>
        <w:rPr>
          <w:rFonts w:ascii="Times New Roman" w:hAnsi="Times New Roman" w:cs="Times New Roman"/>
        </w:rPr>
        <w:t xml:space="preserve">país, con un total de 771 personas participantes (mujeres 274 y juventud 62). </w:t>
      </w:r>
    </w:p>
    <w:p w:rsidR="00DD4456" w:rsidRDefault="00DD4456" w:rsidP="00DD4456">
      <w:pPr>
        <w:rPr>
          <w:rFonts w:ascii="Times New Roman" w:hAnsi="Times New Roman" w:cs="Times New Roman"/>
        </w:rPr>
      </w:pPr>
    </w:p>
    <w:p w:rsidR="009D2304" w:rsidRDefault="009D2304" w:rsidP="00ED1E0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espacio de </w:t>
      </w:r>
      <w:r w:rsidR="00114866" w:rsidRPr="00114866">
        <w:rPr>
          <w:rFonts w:ascii="Times New Roman" w:hAnsi="Times New Roman" w:cs="Times New Roman"/>
          <w:b/>
        </w:rPr>
        <w:t>“A</w:t>
      </w:r>
      <w:r w:rsidRPr="00114866">
        <w:rPr>
          <w:rFonts w:ascii="Times New Roman" w:hAnsi="Times New Roman" w:cs="Times New Roman"/>
          <w:b/>
        </w:rPr>
        <w:t xml:space="preserve">tención personalizada en la </w:t>
      </w:r>
      <w:r w:rsidR="00114866" w:rsidRPr="00114866">
        <w:rPr>
          <w:rFonts w:ascii="Times New Roman" w:hAnsi="Times New Roman" w:cs="Times New Roman"/>
          <w:b/>
        </w:rPr>
        <w:t>O</w:t>
      </w:r>
      <w:r w:rsidRPr="00114866">
        <w:rPr>
          <w:rFonts w:ascii="Times New Roman" w:hAnsi="Times New Roman" w:cs="Times New Roman"/>
          <w:b/>
        </w:rPr>
        <w:t>ficina</w:t>
      </w:r>
      <w:r w:rsidR="00114866" w:rsidRPr="00114866">
        <w:rPr>
          <w:rFonts w:ascii="Times New Roman" w:hAnsi="Times New Roman" w:cs="Times New Roman"/>
          <w:b/>
        </w:rPr>
        <w:t>”</w:t>
      </w:r>
      <w:r w:rsidRPr="0011486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de la Dirección de Gestión Social, se mantuvo activo, recibiendo un total de 76 visitas, en las que se atendió a 143 personas; orientándoles sobre el proceso a seguir para tener éxito en su gestión para realizar la obra pública de interés.</w:t>
      </w:r>
    </w:p>
    <w:p w:rsidR="009D2304" w:rsidRDefault="009D2304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D2304" w:rsidRDefault="009D2304" w:rsidP="00ED1E0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Cuando se hacen inspecciones técnicas en el territorio</w:t>
      </w:r>
      <w:r w:rsidR="003B378A">
        <w:rPr>
          <w:rFonts w:ascii="Times New Roman" w:hAnsi="Times New Roman" w:cs="Times New Roman"/>
        </w:rPr>
        <w:t xml:space="preserve">, </w:t>
      </w:r>
      <w:r w:rsidR="00114866">
        <w:rPr>
          <w:rFonts w:ascii="Times New Roman" w:hAnsi="Times New Roman" w:cs="Times New Roman"/>
        </w:rPr>
        <w:t xml:space="preserve">surge necesidad de dar </w:t>
      </w:r>
      <w:r w:rsidR="00114866" w:rsidRPr="00114866">
        <w:rPr>
          <w:rFonts w:ascii="Times New Roman" w:hAnsi="Times New Roman" w:cs="Times New Roman"/>
          <w:b/>
        </w:rPr>
        <w:t>“A</w:t>
      </w:r>
      <w:r w:rsidR="003B378A" w:rsidRPr="00114866">
        <w:rPr>
          <w:rFonts w:ascii="Times New Roman" w:hAnsi="Times New Roman" w:cs="Times New Roman"/>
          <w:b/>
        </w:rPr>
        <w:t xml:space="preserve">tención </w:t>
      </w:r>
      <w:r w:rsidR="00114866" w:rsidRPr="00114866">
        <w:rPr>
          <w:rFonts w:ascii="Times New Roman" w:hAnsi="Times New Roman" w:cs="Times New Roman"/>
          <w:b/>
        </w:rPr>
        <w:t>P</w:t>
      </w:r>
      <w:r w:rsidR="003B378A" w:rsidRPr="00114866">
        <w:rPr>
          <w:rFonts w:ascii="Times New Roman" w:hAnsi="Times New Roman" w:cs="Times New Roman"/>
          <w:b/>
        </w:rPr>
        <w:t xml:space="preserve">ersonalizada </w:t>
      </w:r>
      <w:r w:rsidR="00114866" w:rsidRPr="00114866">
        <w:rPr>
          <w:rFonts w:ascii="Times New Roman" w:hAnsi="Times New Roman" w:cs="Times New Roman"/>
          <w:b/>
        </w:rPr>
        <w:t>en el Territorio”</w:t>
      </w:r>
      <w:r w:rsidR="00114866">
        <w:rPr>
          <w:rFonts w:ascii="Times New Roman" w:hAnsi="Times New Roman" w:cs="Times New Roman"/>
        </w:rPr>
        <w:t xml:space="preserve">, </w:t>
      </w:r>
      <w:r w:rsidR="003B378A">
        <w:rPr>
          <w:rFonts w:ascii="Times New Roman" w:hAnsi="Times New Roman" w:cs="Times New Roman"/>
        </w:rPr>
        <w:t xml:space="preserve">a otras </w:t>
      </w:r>
      <w:r w:rsidR="009552D0">
        <w:rPr>
          <w:rFonts w:ascii="Times New Roman" w:hAnsi="Times New Roman" w:cs="Times New Roman"/>
        </w:rPr>
        <w:t>ADESCOS</w:t>
      </w:r>
      <w:r w:rsidR="003B378A">
        <w:rPr>
          <w:rFonts w:ascii="Times New Roman" w:hAnsi="Times New Roman" w:cs="Times New Roman"/>
        </w:rPr>
        <w:t>, instituciones o personas que requieren de orientación o necesitan entregar algún documento etc. En este espacio de participación ciudadana se dio atención a 69 personas en 32 “Atenciones</w:t>
      </w:r>
      <w:r w:rsidR="00114866">
        <w:rPr>
          <w:rFonts w:ascii="Times New Roman" w:hAnsi="Times New Roman" w:cs="Times New Roman"/>
        </w:rPr>
        <w:t xml:space="preserve"> personalizadas</w:t>
      </w:r>
      <w:r w:rsidR="003B378A">
        <w:rPr>
          <w:rFonts w:ascii="Times New Roman" w:hAnsi="Times New Roman" w:cs="Times New Roman"/>
        </w:rPr>
        <w:t xml:space="preserve"> en el Territorio”</w:t>
      </w:r>
      <w:r w:rsidR="009552D0">
        <w:rPr>
          <w:rFonts w:ascii="Times New Roman" w:hAnsi="Times New Roman" w:cs="Times New Roman"/>
        </w:rPr>
        <w:t xml:space="preserve"> (30 mujeres, 39 hombres y 12 juventud).</w:t>
      </w:r>
    </w:p>
    <w:p w:rsidR="009552D0" w:rsidRDefault="009552D0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552D0" w:rsidRDefault="009552D0" w:rsidP="00ED1E0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 </w:t>
      </w:r>
      <w:r w:rsidR="00114866" w:rsidRPr="00114866">
        <w:rPr>
          <w:rFonts w:ascii="Times New Roman" w:hAnsi="Times New Roman" w:cs="Times New Roman"/>
          <w:b/>
        </w:rPr>
        <w:t>“R</w:t>
      </w:r>
      <w:r w:rsidRPr="00114866">
        <w:rPr>
          <w:rFonts w:ascii="Times New Roman" w:hAnsi="Times New Roman" w:cs="Times New Roman"/>
          <w:b/>
        </w:rPr>
        <w:t xml:space="preserve">euniones con </w:t>
      </w:r>
      <w:r w:rsidR="00114866" w:rsidRPr="00114866">
        <w:rPr>
          <w:rFonts w:ascii="Times New Roman" w:hAnsi="Times New Roman" w:cs="Times New Roman"/>
          <w:b/>
        </w:rPr>
        <w:t>M</w:t>
      </w:r>
      <w:r w:rsidRPr="00114866">
        <w:rPr>
          <w:rFonts w:ascii="Times New Roman" w:hAnsi="Times New Roman" w:cs="Times New Roman"/>
          <w:b/>
        </w:rPr>
        <w:t xml:space="preserve">esas </w:t>
      </w:r>
      <w:r w:rsidR="00114866" w:rsidRPr="00114866">
        <w:rPr>
          <w:rFonts w:ascii="Times New Roman" w:hAnsi="Times New Roman" w:cs="Times New Roman"/>
          <w:b/>
        </w:rPr>
        <w:t>T</w:t>
      </w:r>
      <w:r w:rsidRPr="00114866">
        <w:rPr>
          <w:rFonts w:ascii="Times New Roman" w:hAnsi="Times New Roman" w:cs="Times New Roman"/>
          <w:b/>
        </w:rPr>
        <w:t>écnicas</w:t>
      </w:r>
      <w:r w:rsidR="00114866" w:rsidRPr="00114866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</w:rPr>
        <w:t xml:space="preserve"> se han mantenido como un mecanismo en el que las comunidades organizadas dan seguimiento a las obras o proyectos en ejecución, en el trimestre se realizaron 3 reuniones con mesa técnica que da seguimiento al proyecto de ampliación de la carretera al puerto de La Libertad.</w:t>
      </w:r>
    </w:p>
    <w:p w:rsidR="009552D0" w:rsidRDefault="009552D0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D1E26" w:rsidRDefault="009552D0" w:rsidP="00ED1E0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este tercer trimestre se realizó una </w:t>
      </w:r>
      <w:r w:rsidRPr="00114866">
        <w:rPr>
          <w:rFonts w:ascii="Times New Roman" w:hAnsi="Times New Roman" w:cs="Times New Roman"/>
          <w:b/>
        </w:rPr>
        <w:t>“Rendición de Cuentas”,</w:t>
      </w:r>
      <w:r>
        <w:rPr>
          <w:rFonts w:ascii="Times New Roman" w:hAnsi="Times New Roman" w:cs="Times New Roman"/>
        </w:rPr>
        <w:t xml:space="preserve"> que es otro de los mecanismos de la DGS, en esta ocasión fue </w:t>
      </w:r>
      <w:r w:rsidR="00BD1E26">
        <w:rPr>
          <w:rFonts w:ascii="Times New Roman" w:hAnsi="Times New Roman" w:cs="Times New Roman"/>
        </w:rPr>
        <w:t>en Morazán el Mozote, donde se realizan obras de resarcimiento para</w:t>
      </w:r>
      <w:r w:rsidR="005F4589">
        <w:rPr>
          <w:rFonts w:ascii="Times New Roman" w:hAnsi="Times New Roman" w:cs="Times New Roman"/>
        </w:rPr>
        <w:t xml:space="preserve"> la zona</w:t>
      </w:r>
      <w:r w:rsidR="00BD1E26">
        <w:rPr>
          <w:rFonts w:ascii="Times New Roman" w:hAnsi="Times New Roman" w:cs="Times New Roman"/>
        </w:rPr>
        <w:t>.</w:t>
      </w:r>
    </w:p>
    <w:p w:rsidR="005F4589" w:rsidRDefault="005F4589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0430C" w:rsidRDefault="005F4589" w:rsidP="0050430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Se </w:t>
      </w:r>
      <w:r w:rsidR="008065AB">
        <w:rPr>
          <w:rFonts w:ascii="Times New Roman" w:hAnsi="Times New Roman" w:cs="Times New Roman"/>
        </w:rPr>
        <w:t xml:space="preserve">realizaron </w:t>
      </w:r>
      <w:r>
        <w:rPr>
          <w:rFonts w:ascii="Times New Roman" w:hAnsi="Times New Roman" w:cs="Times New Roman"/>
        </w:rPr>
        <w:t xml:space="preserve">89 </w:t>
      </w:r>
      <w:r w:rsidR="00114866" w:rsidRPr="00114866">
        <w:rPr>
          <w:rFonts w:ascii="Times New Roman" w:hAnsi="Times New Roman" w:cs="Times New Roman"/>
          <w:b/>
        </w:rPr>
        <w:t>“Despacho</w:t>
      </w:r>
      <w:r w:rsidR="008065AB">
        <w:rPr>
          <w:rFonts w:ascii="Times New Roman" w:hAnsi="Times New Roman" w:cs="Times New Roman"/>
          <w:b/>
        </w:rPr>
        <w:t>s</w:t>
      </w:r>
      <w:r w:rsidR="00114866" w:rsidRPr="00114866">
        <w:rPr>
          <w:rFonts w:ascii="Times New Roman" w:hAnsi="Times New Roman" w:cs="Times New Roman"/>
          <w:b/>
        </w:rPr>
        <w:t xml:space="preserve"> Abierto</w:t>
      </w:r>
      <w:r w:rsidR="008065AB">
        <w:rPr>
          <w:rFonts w:ascii="Times New Roman" w:hAnsi="Times New Roman" w:cs="Times New Roman"/>
          <w:b/>
        </w:rPr>
        <w:t>s</w:t>
      </w:r>
      <w:r w:rsidR="00114866" w:rsidRPr="00114866">
        <w:rPr>
          <w:rFonts w:ascii="Times New Roman" w:hAnsi="Times New Roman" w:cs="Times New Roman"/>
          <w:b/>
        </w:rPr>
        <w:t>”</w:t>
      </w:r>
      <w:r w:rsidRPr="0011486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con el director de la DGS</w:t>
      </w:r>
      <w:r w:rsidR="008065AB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en l</w:t>
      </w:r>
      <w:r w:rsidR="008065AB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 xml:space="preserve"> que participaron 306 personas representantes de instituciones y de gobiernos locales, en un 90%. Y se atendió en un 10% organizaciones comunitarias, sobre todo con casos complejos. También se </w:t>
      </w:r>
      <w:r w:rsidR="0050430C">
        <w:rPr>
          <w:rFonts w:ascii="Times New Roman" w:hAnsi="Times New Roman" w:cs="Times New Roman"/>
        </w:rPr>
        <w:t>desarrolló 55</w:t>
      </w:r>
      <w:r>
        <w:rPr>
          <w:rFonts w:ascii="Times New Roman" w:hAnsi="Times New Roman" w:cs="Times New Roman"/>
        </w:rPr>
        <w:t xml:space="preserve"> reuniones en </w:t>
      </w:r>
      <w:r w:rsidR="0050430C">
        <w:rPr>
          <w:rFonts w:ascii="Times New Roman" w:hAnsi="Times New Roman" w:cs="Times New Roman"/>
        </w:rPr>
        <w:t>los territorios con alcaldes, alcaldesas y parte de sus concejos municipales, en las que participaron 93 personas. Y se atendieron dos reuniones de Consejo Departamental de Alcaldes, una de La Paz y otra en Oriente.</w:t>
      </w:r>
    </w:p>
    <w:p w:rsidR="0050430C" w:rsidRDefault="0050430C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0430C" w:rsidRDefault="0050430C" w:rsidP="00ED1E0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organización de </w:t>
      </w:r>
      <w:r w:rsidR="00114866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omités pro </w:t>
      </w:r>
      <w:r w:rsidR="0011486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bra </w:t>
      </w:r>
      <w:r w:rsidR="00114866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ública disminuyo en este periodo, se realizaron 11 reuniones </w:t>
      </w:r>
      <w:proofErr w:type="gramStart"/>
      <w:r>
        <w:rPr>
          <w:rFonts w:ascii="Times New Roman" w:hAnsi="Times New Roman" w:cs="Times New Roman"/>
        </w:rPr>
        <w:t>con</w:t>
      </w:r>
      <w:r w:rsidR="00AD74B5">
        <w:rPr>
          <w:rFonts w:ascii="Times New Roman" w:hAnsi="Times New Roman" w:cs="Times New Roman"/>
        </w:rPr>
        <w:t xml:space="preserve"> </w:t>
      </w:r>
      <w:r w:rsidR="00114866">
        <w:rPr>
          <w:rFonts w:ascii="Times New Roman" w:hAnsi="Times New Roman" w:cs="Times New Roman"/>
          <w:b/>
        </w:rPr>
        <w:t>”</w:t>
      </w:r>
      <w:proofErr w:type="gramEnd"/>
      <w:r w:rsidR="00114866">
        <w:rPr>
          <w:rFonts w:ascii="Times New Roman" w:hAnsi="Times New Roman" w:cs="Times New Roman"/>
          <w:b/>
        </w:rPr>
        <w:t>C</w:t>
      </w:r>
      <w:r w:rsidRPr="00114866">
        <w:rPr>
          <w:rFonts w:ascii="Times New Roman" w:hAnsi="Times New Roman" w:cs="Times New Roman"/>
          <w:b/>
        </w:rPr>
        <w:t>omité de Obra Públic</w:t>
      </w:r>
      <w:r w:rsidR="00114866">
        <w:rPr>
          <w:rFonts w:ascii="Times New Roman" w:hAnsi="Times New Roman" w:cs="Times New Roman"/>
          <w:b/>
        </w:rPr>
        <w:t>a”</w:t>
      </w:r>
      <w:r>
        <w:rPr>
          <w:rFonts w:ascii="Times New Roman" w:hAnsi="Times New Roman" w:cs="Times New Roman"/>
        </w:rPr>
        <w:t xml:space="preserve"> ya organizados para dar seguimiento a los procesos. Uno de estos es del río grande en San Miguel.</w:t>
      </w:r>
      <w:r w:rsidR="008065AB">
        <w:rPr>
          <w:rFonts w:ascii="Times New Roman" w:hAnsi="Times New Roman" w:cs="Times New Roman"/>
        </w:rPr>
        <w:t xml:space="preserve"> </w:t>
      </w:r>
    </w:p>
    <w:p w:rsidR="0050430C" w:rsidRDefault="0050430C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0430C" w:rsidRDefault="0050430C" w:rsidP="00ED1E0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 </w:t>
      </w:r>
      <w:r w:rsidR="00114866">
        <w:rPr>
          <w:rFonts w:ascii="Times New Roman" w:hAnsi="Times New Roman" w:cs="Times New Roman"/>
        </w:rPr>
        <w:t xml:space="preserve">Mesas </w:t>
      </w:r>
      <w:r>
        <w:rPr>
          <w:rFonts w:ascii="Times New Roman" w:hAnsi="Times New Roman" w:cs="Times New Roman"/>
        </w:rPr>
        <w:t xml:space="preserve">de </w:t>
      </w:r>
      <w:r w:rsidR="00114866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oordinación </w:t>
      </w:r>
      <w:r w:rsidR="0011486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nterinstitucional han sido un espacio en el que </w:t>
      </w:r>
      <w:r w:rsidR="00114866">
        <w:rPr>
          <w:rFonts w:ascii="Times New Roman" w:hAnsi="Times New Roman" w:cs="Times New Roman"/>
        </w:rPr>
        <w:t xml:space="preserve">ha participado la ciudadanía, según se le requiera, </w:t>
      </w:r>
      <w:r>
        <w:rPr>
          <w:rFonts w:ascii="Times New Roman" w:hAnsi="Times New Roman" w:cs="Times New Roman"/>
        </w:rPr>
        <w:t>se tuvo 23 reuniones de mesa Interinstitucional con participación de 36 mujeres y 34 hombres.</w:t>
      </w:r>
    </w:p>
    <w:p w:rsidR="005F4589" w:rsidRDefault="005F4589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065AB" w:rsidRDefault="008065AB" w:rsidP="00ED1E0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tiene una articulación permanente con el liderazgo comunitario, y una forma es por medio de reuniones con las ADESCOS.</w:t>
      </w:r>
    </w:p>
    <w:p w:rsidR="008065AB" w:rsidRDefault="008065AB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065AB" w:rsidRDefault="008065AB" w:rsidP="008065AB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9DA2C9D" wp14:editId="31EE401A">
            <wp:extent cx="4584700" cy="2003425"/>
            <wp:effectExtent l="0" t="0" r="6350" b="1587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65AB" w:rsidRDefault="008065AB" w:rsidP="008065AB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8065AB" w:rsidRDefault="008065AB" w:rsidP="00DD445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D1E07" w:rsidRDefault="00ED1E07" w:rsidP="00DD445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gestión de conflictos en el trimestre ha sido uno de las intervenciones </w:t>
      </w:r>
      <w:r w:rsidR="00AD74B5">
        <w:rPr>
          <w:rFonts w:ascii="Times New Roman" w:hAnsi="Times New Roman" w:cs="Times New Roman"/>
        </w:rPr>
        <w:t xml:space="preserve">más requeridas </w:t>
      </w:r>
      <w:r>
        <w:rPr>
          <w:rFonts w:ascii="Times New Roman" w:hAnsi="Times New Roman" w:cs="Times New Roman"/>
        </w:rPr>
        <w:t xml:space="preserve">de la Dirección de Gestión Social, </w:t>
      </w:r>
      <w:r w:rsidR="00AD74B5">
        <w:rPr>
          <w:rFonts w:ascii="Times New Roman" w:hAnsi="Times New Roman" w:cs="Times New Roman"/>
        </w:rPr>
        <w:t xml:space="preserve">sobre todo </w:t>
      </w:r>
      <w:r>
        <w:rPr>
          <w:rFonts w:ascii="Times New Roman" w:hAnsi="Times New Roman" w:cs="Times New Roman"/>
        </w:rPr>
        <w:t>en los casos de</w:t>
      </w:r>
      <w:r w:rsidR="00AD74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San Pedro </w:t>
      </w:r>
      <w:proofErr w:type="spellStart"/>
      <w:r>
        <w:rPr>
          <w:rFonts w:ascii="Times New Roman" w:hAnsi="Times New Roman" w:cs="Times New Roman"/>
        </w:rPr>
        <w:t>Masahuat</w:t>
      </w:r>
      <w:proofErr w:type="spellEnd"/>
      <w:r>
        <w:rPr>
          <w:rFonts w:ascii="Times New Roman" w:hAnsi="Times New Roman" w:cs="Times New Roman"/>
        </w:rPr>
        <w:t>,</w:t>
      </w:r>
      <w:r w:rsidR="00AD74B5">
        <w:rPr>
          <w:rFonts w:ascii="Times New Roman" w:hAnsi="Times New Roman" w:cs="Times New Roman"/>
        </w:rPr>
        <w:t xml:space="preserve"> construcción ampliación de carretera de litoral en La Paz y de la carretera </w:t>
      </w:r>
      <w:r>
        <w:rPr>
          <w:rFonts w:ascii="Times New Roman" w:hAnsi="Times New Roman" w:cs="Times New Roman"/>
        </w:rPr>
        <w:t>al Puerto de La Libertad.</w:t>
      </w:r>
    </w:p>
    <w:p w:rsidR="000222D9" w:rsidRDefault="000222D9" w:rsidP="007653E3">
      <w:pPr>
        <w:spacing w:line="360" w:lineRule="auto"/>
        <w:jc w:val="center"/>
        <w:rPr>
          <w:rFonts w:ascii="Bembo Std" w:hAnsi="Bembo Std"/>
          <w:b/>
        </w:rPr>
      </w:pPr>
      <w:bookmarkStart w:id="0" w:name="_GoBack"/>
      <w:bookmarkEnd w:id="0"/>
    </w:p>
    <w:sectPr w:rsidR="000222D9" w:rsidSect="00404CA3">
      <w:headerReference w:type="default" r:id="rId13"/>
      <w:footerReference w:type="default" r:id="rId14"/>
      <w:type w:val="continuous"/>
      <w:pgSz w:w="12240" w:h="15840"/>
      <w:pgMar w:top="1276" w:right="1701" w:bottom="851" w:left="1701" w:header="708" w:footer="1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60D" w:rsidRDefault="001D460D" w:rsidP="005C7AD8">
      <w:pPr>
        <w:spacing w:after="0" w:line="240" w:lineRule="auto"/>
      </w:pPr>
      <w:r>
        <w:separator/>
      </w:r>
    </w:p>
  </w:endnote>
  <w:endnote w:type="continuationSeparator" w:id="0">
    <w:p w:rsidR="001D460D" w:rsidRDefault="001D460D" w:rsidP="005C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altName w:val="Sitka Smal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0806748"/>
      <w:docPartObj>
        <w:docPartGallery w:val="Page Numbers (Bottom of Page)"/>
        <w:docPartUnique/>
      </w:docPartObj>
    </w:sdtPr>
    <w:sdtContent>
      <w:p w:rsidR="00A41B1E" w:rsidRDefault="00A41B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5AB" w:rsidRPr="008065AB">
          <w:rPr>
            <w:noProof/>
            <w:lang w:val="es-ES"/>
          </w:rPr>
          <w:t>4</w:t>
        </w:r>
        <w:r>
          <w:fldChar w:fldCharType="end"/>
        </w:r>
      </w:p>
    </w:sdtContent>
  </w:sdt>
  <w:p w:rsidR="00A41B1E" w:rsidRDefault="00A41B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60D" w:rsidRDefault="001D460D" w:rsidP="005C7AD8">
      <w:pPr>
        <w:spacing w:after="0" w:line="240" w:lineRule="auto"/>
      </w:pPr>
      <w:r>
        <w:separator/>
      </w:r>
    </w:p>
  </w:footnote>
  <w:footnote w:type="continuationSeparator" w:id="0">
    <w:p w:rsidR="001D460D" w:rsidRDefault="001D460D" w:rsidP="005C7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327" w:rsidRDefault="007653E3" w:rsidP="005C7AD8">
    <w:pPr>
      <w:pStyle w:val="Encabezado"/>
      <w:jc w:val="center"/>
    </w:pPr>
    <w:r>
      <w:rPr>
        <w:noProof/>
      </w:rPr>
      <w:drawing>
        <wp:anchor distT="0" distB="0" distL="114300" distR="114300" simplePos="0" relativeHeight="251658752" behindDoc="1" locked="0" layoutInCell="0" allowOverlap="1">
          <wp:simplePos x="0" y="0"/>
          <wp:positionH relativeFrom="margin">
            <wp:posOffset>-927735</wp:posOffset>
          </wp:positionH>
          <wp:positionV relativeFrom="margin">
            <wp:posOffset>-1147445</wp:posOffset>
          </wp:positionV>
          <wp:extent cx="7772400" cy="10058400"/>
          <wp:effectExtent l="0" t="0" r="0" b="0"/>
          <wp:wrapNone/>
          <wp:docPr id="1" name="Imagen 1" descr="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D3CA5"/>
    <w:multiLevelType w:val="hybridMultilevel"/>
    <w:tmpl w:val="8FC04E0A"/>
    <w:lvl w:ilvl="0" w:tplc="17FC7D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B4050"/>
    <w:multiLevelType w:val="hybridMultilevel"/>
    <w:tmpl w:val="52E203E8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249EB"/>
    <w:multiLevelType w:val="hybridMultilevel"/>
    <w:tmpl w:val="67E8931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205F9"/>
    <w:multiLevelType w:val="hybridMultilevel"/>
    <w:tmpl w:val="996C3D0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91835"/>
    <w:multiLevelType w:val="hybridMultilevel"/>
    <w:tmpl w:val="E4FC39E0"/>
    <w:lvl w:ilvl="0" w:tplc="FC4EC13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15073"/>
    <w:multiLevelType w:val="hybridMultilevel"/>
    <w:tmpl w:val="498287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B11F51"/>
    <w:multiLevelType w:val="hybridMultilevel"/>
    <w:tmpl w:val="59EAEA52"/>
    <w:lvl w:ilvl="0" w:tplc="760ADE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CF46D5"/>
    <w:multiLevelType w:val="hybridMultilevel"/>
    <w:tmpl w:val="62028402"/>
    <w:lvl w:ilvl="0" w:tplc="7AFA5A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55"/>
    <w:rsid w:val="00013202"/>
    <w:rsid w:val="0001485E"/>
    <w:rsid w:val="000222D9"/>
    <w:rsid w:val="00024B49"/>
    <w:rsid w:val="00030B8E"/>
    <w:rsid w:val="0003461E"/>
    <w:rsid w:val="000355A9"/>
    <w:rsid w:val="00037B13"/>
    <w:rsid w:val="00040023"/>
    <w:rsid w:val="00051370"/>
    <w:rsid w:val="000530D3"/>
    <w:rsid w:val="00056F74"/>
    <w:rsid w:val="00060738"/>
    <w:rsid w:val="0006292B"/>
    <w:rsid w:val="00072FCB"/>
    <w:rsid w:val="00073F0F"/>
    <w:rsid w:val="00075B6D"/>
    <w:rsid w:val="000A702F"/>
    <w:rsid w:val="000A72FC"/>
    <w:rsid w:val="000C3261"/>
    <w:rsid w:val="000C3343"/>
    <w:rsid w:val="000C7A8B"/>
    <w:rsid w:val="000D4D8B"/>
    <w:rsid w:val="000E623B"/>
    <w:rsid w:val="000E73CB"/>
    <w:rsid w:val="000F0BCD"/>
    <w:rsid w:val="000F3006"/>
    <w:rsid w:val="00112143"/>
    <w:rsid w:val="00114866"/>
    <w:rsid w:val="00125E5B"/>
    <w:rsid w:val="00126013"/>
    <w:rsid w:val="001262EC"/>
    <w:rsid w:val="0012675B"/>
    <w:rsid w:val="00151F93"/>
    <w:rsid w:val="0015226C"/>
    <w:rsid w:val="00153D3E"/>
    <w:rsid w:val="0015628D"/>
    <w:rsid w:val="0016128F"/>
    <w:rsid w:val="00167477"/>
    <w:rsid w:val="001C2902"/>
    <w:rsid w:val="001D460D"/>
    <w:rsid w:val="001E4497"/>
    <w:rsid w:val="001F16B8"/>
    <w:rsid w:val="001F7477"/>
    <w:rsid w:val="00225EC4"/>
    <w:rsid w:val="00235184"/>
    <w:rsid w:val="00240511"/>
    <w:rsid w:val="002565AE"/>
    <w:rsid w:val="002575C7"/>
    <w:rsid w:val="00266078"/>
    <w:rsid w:val="00266D9D"/>
    <w:rsid w:val="00272D5F"/>
    <w:rsid w:val="00275FCD"/>
    <w:rsid w:val="00282319"/>
    <w:rsid w:val="002843A9"/>
    <w:rsid w:val="00286BCF"/>
    <w:rsid w:val="002911E8"/>
    <w:rsid w:val="0029138D"/>
    <w:rsid w:val="002932A6"/>
    <w:rsid w:val="002A1976"/>
    <w:rsid w:val="002B44FD"/>
    <w:rsid w:val="002D0486"/>
    <w:rsid w:val="002D268C"/>
    <w:rsid w:val="002D372E"/>
    <w:rsid w:val="002E0D3D"/>
    <w:rsid w:val="002E3CAC"/>
    <w:rsid w:val="002F1B7C"/>
    <w:rsid w:val="002F295E"/>
    <w:rsid w:val="002F3186"/>
    <w:rsid w:val="00300CA8"/>
    <w:rsid w:val="0030383B"/>
    <w:rsid w:val="0030570A"/>
    <w:rsid w:val="00314770"/>
    <w:rsid w:val="00324705"/>
    <w:rsid w:val="00334DF1"/>
    <w:rsid w:val="00340D25"/>
    <w:rsid w:val="003435A1"/>
    <w:rsid w:val="003542E5"/>
    <w:rsid w:val="00356F90"/>
    <w:rsid w:val="00360C79"/>
    <w:rsid w:val="00367E2C"/>
    <w:rsid w:val="00370176"/>
    <w:rsid w:val="00376972"/>
    <w:rsid w:val="00382D6E"/>
    <w:rsid w:val="00394B2F"/>
    <w:rsid w:val="003952E8"/>
    <w:rsid w:val="003966E7"/>
    <w:rsid w:val="003A32D0"/>
    <w:rsid w:val="003B378A"/>
    <w:rsid w:val="003B5CD0"/>
    <w:rsid w:val="003C7188"/>
    <w:rsid w:val="003C7E99"/>
    <w:rsid w:val="003D2BF3"/>
    <w:rsid w:val="003E4D2B"/>
    <w:rsid w:val="003E65FE"/>
    <w:rsid w:val="003F05CD"/>
    <w:rsid w:val="003F474F"/>
    <w:rsid w:val="003F7B74"/>
    <w:rsid w:val="00404CA3"/>
    <w:rsid w:val="00406679"/>
    <w:rsid w:val="00415F68"/>
    <w:rsid w:val="00416C54"/>
    <w:rsid w:val="004270A3"/>
    <w:rsid w:val="0043317F"/>
    <w:rsid w:val="00433382"/>
    <w:rsid w:val="004353D0"/>
    <w:rsid w:val="004411AD"/>
    <w:rsid w:val="00442E7B"/>
    <w:rsid w:val="00450709"/>
    <w:rsid w:val="00450B8A"/>
    <w:rsid w:val="004631BF"/>
    <w:rsid w:val="004716C7"/>
    <w:rsid w:val="00473696"/>
    <w:rsid w:val="00482F89"/>
    <w:rsid w:val="00484EE3"/>
    <w:rsid w:val="004912D1"/>
    <w:rsid w:val="00495E31"/>
    <w:rsid w:val="004A4C17"/>
    <w:rsid w:val="004A7284"/>
    <w:rsid w:val="004B078B"/>
    <w:rsid w:val="004B2415"/>
    <w:rsid w:val="004B29B8"/>
    <w:rsid w:val="004B46F7"/>
    <w:rsid w:val="004C3A70"/>
    <w:rsid w:val="004C4FBD"/>
    <w:rsid w:val="004C5FBA"/>
    <w:rsid w:val="004D1407"/>
    <w:rsid w:val="004D1B18"/>
    <w:rsid w:val="004D4401"/>
    <w:rsid w:val="004E48A0"/>
    <w:rsid w:val="004E5ADC"/>
    <w:rsid w:val="004F14EB"/>
    <w:rsid w:val="004F6A55"/>
    <w:rsid w:val="00504058"/>
    <w:rsid w:val="0050430C"/>
    <w:rsid w:val="00511A3D"/>
    <w:rsid w:val="0051707C"/>
    <w:rsid w:val="005211BD"/>
    <w:rsid w:val="00586C30"/>
    <w:rsid w:val="00591880"/>
    <w:rsid w:val="005939B1"/>
    <w:rsid w:val="005A30EC"/>
    <w:rsid w:val="005A7C5D"/>
    <w:rsid w:val="005C6EE5"/>
    <w:rsid w:val="005C7009"/>
    <w:rsid w:val="005C7AD8"/>
    <w:rsid w:val="005C7E84"/>
    <w:rsid w:val="005D1997"/>
    <w:rsid w:val="005D4F45"/>
    <w:rsid w:val="005E5D65"/>
    <w:rsid w:val="005E7494"/>
    <w:rsid w:val="005F1689"/>
    <w:rsid w:val="005F4589"/>
    <w:rsid w:val="00600238"/>
    <w:rsid w:val="00603D90"/>
    <w:rsid w:val="006048C3"/>
    <w:rsid w:val="00607D0C"/>
    <w:rsid w:val="00611044"/>
    <w:rsid w:val="00612540"/>
    <w:rsid w:val="0061460E"/>
    <w:rsid w:val="00616D10"/>
    <w:rsid w:val="00634186"/>
    <w:rsid w:val="00637014"/>
    <w:rsid w:val="00640DB9"/>
    <w:rsid w:val="00650C5D"/>
    <w:rsid w:val="006544E9"/>
    <w:rsid w:val="0065719E"/>
    <w:rsid w:val="00657805"/>
    <w:rsid w:val="00661965"/>
    <w:rsid w:val="00674915"/>
    <w:rsid w:val="006759B9"/>
    <w:rsid w:val="00684523"/>
    <w:rsid w:val="006A2C01"/>
    <w:rsid w:val="006A3B88"/>
    <w:rsid w:val="006B018A"/>
    <w:rsid w:val="006B5C36"/>
    <w:rsid w:val="006C31CB"/>
    <w:rsid w:val="006D6CA4"/>
    <w:rsid w:val="006E19B3"/>
    <w:rsid w:val="006E5D79"/>
    <w:rsid w:val="006F28FA"/>
    <w:rsid w:val="006F6F4B"/>
    <w:rsid w:val="006F7EC4"/>
    <w:rsid w:val="007034F9"/>
    <w:rsid w:val="00710809"/>
    <w:rsid w:val="0071101E"/>
    <w:rsid w:val="00721364"/>
    <w:rsid w:val="00723345"/>
    <w:rsid w:val="007243A7"/>
    <w:rsid w:val="00724592"/>
    <w:rsid w:val="00731053"/>
    <w:rsid w:val="00734B36"/>
    <w:rsid w:val="007371BD"/>
    <w:rsid w:val="007464E5"/>
    <w:rsid w:val="007574E3"/>
    <w:rsid w:val="00764860"/>
    <w:rsid w:val="007653E3"/>
    <w:rsid w:val="00777B29"/>
    <w:rsid w:val="007815DF"/>
    <w:rsid w:val="007872A0"/>
    <w:rsid w:val="007879C5"/>
    <w:rsid w:val="00791ADA"/>
    <w:rsid w:val="00792CA7"/>
    <w:rsid w:val="00797B1C"/>
    <w:rsid w:val="007A5203"/>
    <w:rsid w:val="007A64A6"/>
    <w:rsid w:val="007A69F6"/>
    <w:rsid w:val="007B03C2"/>
    <w:rsid w:val="007B3635"/>
    <w:rsid w:val="007B37A5"/>
    <w:rsid w:val="007C1F32"/>
    <w:rsid w:val="007C3AA4"/>
    <w:rsid w:val="007C7FC7"/>
    <w:rsid w:val="007E3EA1"/>
    <w:rsid w:val="007E7E3E"/>
    <w:rsid w:val="007F0146"/>
    <w:rsid w:val="00801088"/>
    <w:rsid w:val="00803CD1"/>
    <w:rsid w:val="00805C2D"/>
    <w:rsid w:val="008065AB"/>
    <w:rsid w:val="008143EF"/>
    <w:rsid w:val="008324BA"/>
    <w:rsid w:val="0083487D"/>
    <w:rsid w:val="00835076"/>
    <w:rsid w:val="00856F2B"/>
    <w:rsid w:val="00866BDE"/>
    <w:rsid w:val="00881175"/>
    <w:rsid w:val="00884B51"/>
    <w:rsid w:val="008854C3"/>
    <w:rsid w:val="008B00F7"/>
    <w:rsid w:val="008B4094"/>
    <w:rsid w:val="008D7934"/>
    <w:rsid w:val="008E3811"/>
    <w:rsid w:val="008F10B0"/>
    <w:rsid w:val="008F45B4"/>
    <w:rsid w:val="008F70DC"/>
    <w:rsid w:val="00910A39"/>
    <w:rsid w:val="009142C7"/>
    <w:rsid w:val="00921790"/>
    <w:rsid w:val="0092588B"/>
    <w:rsid w:val="00933B81"/>
    <w:rsid w:val="009349F9"/>
    <w:rsid w:val="009552D0"/>
    <w:rsid w:val="00957EC3"/>
    <w:rsid w:val="0096367E"/>
    <w:rsid w:val="009818BF"/>
    <w:rsid w:val="0099166F"/>
    <w:rsid w:val="0099752B"/>
    <w:rsid w:val="00997705"/>
    <w:rsid w:val="00997F22"/>
    <w:rsid w:val="009A36E8"/>
    <w:rsid w:val="009D0FA6"/>
    <w:rsid w:val="009D2304"/>
    <w:rsid w:val="009D46DF"/>
    <w:rsid w:val="009D51D4"/>
    <w:rsid w:val="009E24FC"/>
    <w:rsid w:val="00A0502E"/>
    <w:rsid w:val="00A225D9"/>
    <w:rsid w:val="00A27654"/>
    <w:rsid w:val="00A31FB9"/>
    <w:rsid w:val="00A417F8"/>
    <w:rsid w:val="00A41B1E"/>
    <w:rsid w:val="00A50202"/>
    <w:rsid w:val="00A51853"/>
    <w:rsid w:val="00A525A5"/>
    <w:rsid w:val="00A67327"/>
    <w:rsid w:val="00A713F6"/>
    <w:rsid w:val="00A74E17"/>
    <w:rsid w:val="00A959C8"/>
    <w:rsid w:val="00AA4E60"/>
    <w:rsid w:val="00AB4D25"/>
    <w:rsid w:val="00AC1B30"/>
    <w:rsid w:val="00AC4541"/>
    <w:rsid w:val="00AD135E"/>
    <w:rsid w:val="00AD1371"/>
    <w:rsid w:val="00AD74B5"/>
    <w:rsid w:val="00AE2757"/>
    <w:rsid w:val="00AF1A2E"/>
    <w:rsid w:val="00AF4638"/>
    <w:rsid w:val="00AF5439"/>
    <w:rsid w:val="00B03574"/>
    <w:rsid w:val="00B03768"/>
    <w:rsid w:val="00B0712C"/>
    <w:rsid w:val="00B16F34"/>
    <w:rsid w:val="00B20A62"/>
    <w:rsid w:val="00B37C88"/>
    <w:rsid w:val="00B40A0B"/>
    <w:rsid w:val="00B45431"/>
    <w:rsid w:val="00B65F80"/>
    <w:rsid w:val="00B753AA"/>
    <w:rsid w:val="00B80FBC"/>
    <w:rsid w:val="00B82989"/>
    <w:rsid w:val="00B866C8"/>
    <w:rsid w:val="00B912F6"/>
    <w:rsid w:val="00B9250E"/>
    <w:rsid w:val="00B92576"/>
    <w:rsid w:val="00BB5AEB"/>
    <w:rsid w:val="00BB7942"/>
    <w:rsid w:val="00BC385C"/>
    <w:rsid w:val="00BC5B2C"/>
    <w:rsid w:val="00BC5FCD"/>
    <w:rsid w:val="00BD1BC6"/>
    <w:rsid w:val="00BD1E26"/>
    <w:rsid w:val="00BD203E"/>
    <w:rsid w:val="00BE6FED"/>
    <w:rsid w:val="00BF0066"/>
    <w:rsid w:val="00C00A03"/>
    <w:rsid w:val="00C14D53"/>
    <w:rsid w:val="00C15661"/>
    <w:rsid w:val="00C31BB7"/>
    <w:rsid w:val="00C34A3F"/>
    <w:rsid w:val="00C471A5"/>
    <w:rsid w:val="00C52455"/>
    <w:rsid w:val="00C560EC"/>
    <w:rsid w:val="00C64D53"/>
    <w:rsid w:val="00C65D33"/>
    <w:rsid w:val="00C755EA"/>
    <w:rsid w:val="00C972B1"/>
    <w:rsid w:val="00CA12E7"/>
    <w:rsid w:val="00CA6E34"/>
    <w:rsid w:val="00CB206D"/>
    <w:rsid w:val="00CB23A2"/>
    <w:rsid w:val="00CB3D8F"/>
    <w:rsid w:val="00CB7D92"/>
    <w:rsid w:val="00CC036B"/>
    <w:rsid w:val="00CD5B19"/>
    <w:rsid w:val="00CE1153"/>
    <w:rsid w:val="00CE11DD"/>
    <w:rsid w:val="00CE6082"/>
    <w:rsid w:val="00CF1860"/>
    <w:rsid w:val="00D03974"/>
    <w:rsid w:val="00D051E3"/>
    <w:rsid w:val="00D1325E"/>
    <w:rsid w:val="00D13CA0"/>
    <w:rsid w:val="00D14CB4"/>
    <w:rsid w:val="00D15767"/>
    <w:rsid w:val="00D17CA5"/>
    <w:rsid w:val="00D24226"/>
    <w:rsid w:val="00D52509"/>
    <w:rsid w:val="00D551D6"/>
    <w:rsid w:val="00D6535A"/>
    <w:rsid w:val="00D65FCA"/>
    <w:rsid w:val="00D86290"/>
    <w:rsid w:val="00D87529"/>
    <w:rsid w:val="00D943F9"/>
    <w:rsid w:val="00DA0130"/>
    <w:rsid w:val="00DA6293"/>
    <w:rsid w:val="00DB4CDE"/>
    <w:rsid w:val="00DC1DA9"/>
    <w:rsid w:val="00DC3B05"/>
    <w:rsid w:val="00DD38FC"/>
    <w:rsid w:val="00DD4456"/>
    <w:rsid w:val="00DD58CD"/>
    <w:rsid w:val="00DE0C87"/>
    <w:rsid w:val="00DE1CBA"/>
    <w:rsid w:val="00DE2E95"/>
    <w:rsid w:val="00DF0718"/>
    <w:rsid w:val="00DF3FDA"/>
    <w:rsid w:val="00DF5427"/>
    <w:rsid w:val="00E04F7A"/>
    <w:rsid w:val="00E0749A"/>
    <w:rsid w:val="00E10728"/>
    <w:rsid w:val="00E124C4"/>
    <w:rsid w:val="00E17AAC"/>
    <w:rsid w:val="00E21D8D"/>
    <w:rsid w:val="00E23F6A"/>
    <w:rsid w:val="00E2462F"/>
    <w:rsid w:val="00E270E0"/>
    <w:rsid w:val="00E35709"/>
    <w:rsid w:val="00E51072"/>
    <w:rsid w:val="00E6260C"/>
    <w:rsid w:val="00E66A87"/>
    <w:rsid w:val="00E72FE2"/>
    <w:rsid w:val="00E9575D"/>
    <w:rsid w:val="00EA4603"/>
    <w:rsid w:val="00EA6D5E"/>
    <w:rsid w:val="00EC1696"/>
    <w:rsid w:val="00EC3846"/>
    <w:rsid w:val="00ED1E07"/>
    <w:rsid w:val="00ED2D90"/>
    <w:rsid w:val="00EE2A69"/>
    <w:rsid w:val="00EE2BF3"/>
    <w:rsid w:val="00EE4D52"/>
    <w:rsid w:val="00EE610C"/>
    <w:rsid w:val="00EF1A7C"/>
    <w:rsid w:val="00F004F5"/>
    <w:rsid w:val="00F06305"/>
    <w:rsid w:val="00F0665A"/>
    <w:rsid w:val="00F0790A"/>
    <w:rsid w:val="00F17427"/>
    <w:rsid w:val="00F22AC0"/>
    <w:rsid w:val="00F32B66"/>
    <w:rsid w:val="00F37436"/>
    <w:rsid w:val="00F43A47"/>
    <w:rsid w:val="00F54DB4"/>
    <w:rsid w:val="00F56BB6"/>
    <w:rsid w:val="00F72CFD"/>
    <w:rsid w:val="00F749B1"/>
    <w:rsid w:val="00F82B83"/>
    <w:rsid w:val="00F9458D"/>
    <w:rsid w:val="00FB38BB"/>
    <w:rsid w:val="00FB3C98"/>
    <w:rsid w:val="00FC0F4F"/>
    <w:rsid w:val="00FD3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E7BEAD-918A-462B-8E5C-6F2EA295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3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B6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E5D6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C6EE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C7A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7AD8"/>
  </w:style>
  <w:style w:type="paragraph" w:styleId="Piedepgina">
    <w:name w:val="footer"/>
    <w:basedOn w:val="Normal"/>
    <w:link w:val="PiedepginaCar"/>
    <w:uiPriority w:val="99"/>
    <w:unhideWhenUsed/>
    <w:rsid w:val="005C7A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7AD8"/>
  </w:style>
  <w:style w:type="character" w:styleId="Textoennegrita">
    <w:name w:val="Strong"/>
    <w:basedOn w:val="Fuentedeprrafopredeter"/>
    <w:uiPriority w:val="22"/>
    <w:qFormat/>
    <w:rsid w:val="00AD7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7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9\Sistematizaci&#243;n%20de%20mecanisos%20de%20PC\Gr&#225;ficas%20solicitudes%202do%20trimestre%202019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Demanda Mensual 2019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-0.15957828465358179"/>
                  <c:y val="0.1813377380930953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3529603476371546"/>
                  <c:y val="-0.1383857921575523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 Demanda III trim 2019'!$J$3:$L$3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' Demanda III trim 2019'!$J$4:$L$4</c:f>
              <c:numCache>
                <c:formatCode>General</c:formatCode>
                <c:ptCount val="3"/>
                <c:pt idx="0">
                  <c:v>125</c:v>
                </c:pt>
                <c:pt idx="1">
                  <c:v>162</c:v>
                </c:pt>
                <c:pt idx="2">
                  <c:v>182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/>
              <a:t>Demanda po</a:t>
            </a:r>
            <a:r>
              <a:rPr lang="es-SV" b="1" baseline="0"/>
              <a:t>r Departamento en 3er. </a:t>
            </a:r>
            <a:r>
              <a:rPr lang="es-SV" b="1"/>
              <a:t>Trimestre 2019</a:t>
            </a:r>
          </a:p>
        </c:rich>
      </c:tx>
      <c:layout>
        <c:manualLayout>
          <c:xMode val="edge"/>
          <c:yMode val="edge"/>
          <c:x val="0.17832721884903693"/>
          <c:y val="2.17273221075502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6.2955672207640714E-2"/>
          <c:y val="8.6119821752764489E-2"/>
          <c:w val="0.93704432779235924"/>
          <c:h val="0.668053640513948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 Demanda III trim 2019'!$C$3</c:f>
              <c:strCache>
                <c:ptCount val="1"/>
                <c:pt idx="0">
                  <c:v>jul-19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 Demanda III trim 2019'!$B$4:$B$17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III trim 2019'!$C$4:$C$17</c:f>
              <c:numCache>
                <c:formatCode>General</c:formatCode>
                <c:ptCount val="14"/>
                <c:pt idx="0">
                  <c:v>31</c:v>
                </c:pt>
                <c:pt idx="1">
                  <c:v>8</c:v>
                </c:pt>
                <c:pt idx="2">
                  <c:v>1</c:v>
                </c:pt>
                <c:pt idx="3">
                  <c:v>9</c:v>
                </c:pt>
                <c:pt idx="4">
                  <c:v>11</c:v>
                </c:pt>
                <c:pt idx="5">
                  <c:v>23</c:v>
                </c:pt>
                <c:pt idx="6">
                  <c:v>5</c:v>
                </c:pt>
                <c:pt idx="7">
                  <c:v>3</c:v>
                </c:pt>
                <c:pt idx="8">
                  <c:v>11</c:v>
                </c:pt>
                <c:pt idx="9">
                  <c:v>6</c:v>
                </c:pt>
                <c:pt idx="10">
                  <c:v>1</c:v>
                </c:pt>
                <c:pt idx="11">
                  <c:v>6</c:v>
                </c:pt>
                <c:pt idx="12">
                  <c:v>8</c:v>
                </c:pt>
                <c:pt idx="13">
                  <c:v>2</c:v>
                </c:pt>
              </c:numCache>
            </c:numRef>
          </c:val>
        </c:ser>
        <c:ser>
          <c:idx val="1"/>
          <c:order val="1"/>
          <c:tx>
            <c:strRef>
              <c:f>' Demanda III trim 2019'!$D$3</c:f>
              <c:strCache>
                <c:ptCount val="1"/>
                <c:pt idx="0">
                  <c:v>ago-19</c:v>
                </c:pt>
              </c:strCache>
            </c:strRef>
          </c:tx>
          <c:spPr>
            <a:solidFill>
              <a:schemeClr val="accent4"/>
            </a:solidFill>
            <a:ln w="76200"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 Demanda III trim 2019'!$B$4:$B$17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III trim 2019'!$D$4:$D$17</c:f>
              <c:numCache>
                <c:formatCode>General</c:formatCode>
                <c:ptCount val="14"/>
                <c:pt idx="0">
                  <c:v>60</c:v>
                </c:pt>
                <c:pt idx="1">
                  <c:v>11</c:v>
                </c:pt>
                <c:pt idx="2">
                  <c:v>3</c:v>
                </c:pt>
                <c:pt idx="3">
                  <c:v>7</c:v>
                </c:pt>
                <c:pt idx="4">
                  <c:v>19</c:v>
                </c:pt>
                <c:pt idx="5">
                  <c:v>19</c:v>
                </c:pt>
                <c:pt idx="6">
                  <c:v>9</c:v>
                </c:pt>
                <c:pt idx="7">
                  <c:v>0</c:v>
                </c:pt>
                <c:pt idx="8">
                  <c:v>12</c:v>
                </c:pt>
                <c:pt idx="9">
                  <c:v>8</c:v>
                </c:pt>
                <c:pt idx="10">
                  <c:v>4</c:v>
                </c:pt>
                <c:pt idx="11">
                  <c:v>5</c:v>
                </c:pt>
                <c:pt idx="12">
                  <c:v>3</c:v>
                </c:pt>
                <c:pt idx="13">
                  <c:v>2</c:v>
                </c:pt>
              </c:numCache>
            </c:numRef>
          </c:val>
        </c:ser>
        <c:ser>
          <c:idx val="2"/>
          <c:order val="2"/>
          <c:tx>
            <c:strRef>
              <c:f>' Demanda III trim 2019'!$E$3</c:f>
              <c:strCache>
                <c:ptCount val="1"/>
                <c:pt idx="0">
                  <c:v>sep-19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 Demanda III trim 2019'!$B$4:$B$17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III trim 2019'!$E$4:$E$17</c:f>
              <c:numCache>
                <c:formatCode>General</c:formatCode>
                <c:ptCount val="14"/>
                <c:pt idx="0">
                  <c:v>42</c:v>
                </c:pt>
                <c:pt idx="1">
                  <c:v>21</c:v>
                </c:pt>
                <c:pt idx="2">
                  <c:v>7</c:v>
                </c:pt>
                <c:pt idx="3">
                  <c:v>7</c:v>
                </c:pt>
                <c:pt idx="4">
                  <c:v>25</c:v>
                </c:pt>
                <c:pt idx="5">
                  <c:v>26</c:v>
                </c:pt>
                <c:pt idx="6">
                  <c:v>7</c:v>
                </c:pt>
                <c:pt idx="7">
                  <c:v>2</c:v>
                </c:pt>
                <c:pt idx="8">
                  <c:v>11</c:v>
                </c:pt>
                <c:pt idx="9">
                  <c:v>9</c:v>
                </c:pt>
                <c:pt idx="10">
                  <c:v>6</c:v>
                </c:pt>
                <c:pt idx="11">
                  <c:v>4</c:v>
                </c:pt>
                <c:pt idx="12">
                  <c:v>4</c:v>
                </c:pt>
                <c:pt idx="13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7527376"/>
        <c:axId val="457536784"/>
      </c:barChart>
      <c:catAx>
        <c:axId val="457527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7536784"/>
        <c:crosses val="autoZero"/>
        <c:auto val="1"/>
        <c:lblAlgn val="ctr"/>
        <c:lblOffset val="100"/>
        <c:noMultiLvlLbl val="0"/>
      </c:catAx>
      <c:valAx>
        <c:axId val="457536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7527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230514782737008"/>
          <c:y val="0.91716415676177365"/>
          <c:w val="0.48371853570359924"/>
          <c:h val="6.11085211306761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Demanda por trimestre al 2019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36093275421912E-2"/>
          <c:y val="3.895404031942816E-2"/>
          <c:w val="0.94639067245780883"/>
          <c:h val="0.83198023119450493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dLbls>
            <c:dLbl>
              <c:idx val="0"/>
              <c:spPr>
                <a:solidFill>
                  <a:schemeClr val="accent2">
                    <a:lumMod val="60000"/>
                    <a:lumOff val="40000"/>
                  </a:schemeClr>
                </a:solidFill>
                <a:ln>
                  <a:solidFill>
                    <a:schemeClr val="bg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accent2">
                    <a:lumMod val="60000"/>
                    <a:lumOff val="40000"/>
                  </a:schemeClr>
                </a:solidFill>
                <a:ln>
                  <a:solidFill>
                    <a:schemeClr val="bg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accent2">
                    <a:lumMod val="60000"/>
                    <a:lumOff val="40000"/>
                  </a:schemeClr>
                </a:solidFill>
                <a:ln w="9525" cap="flat" cmpd="sng" algn="ctr">
                  <a:solidFill>
                    <a:schemeClr val="accent2">
                      <a:lumMod val="40000"/>
                      <a:lumOff val="60000"/>
                    </a:schemeClr>
                  </a:solidFill>
                  <a:prstDash val="solid"/>
                </a:ln>
                <a:effectLst>
                  <a:outerShdw blurRad="40000" dist="20000" dir="5400000" rotWithShape="0">
                    <a:srgbClr val="000000">
                      <a:alpha val="38000"/>
                    </a:srgb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solidFill>
                  <a:schemeClr val="bg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'Demanda Total año 2019'!$C$30:$E$30</c:f>
              <c:strCache>
                <c:ptCount val="3"/>
                <c:pt idx="0">
                  <c:v>1er. Trimestre </c:v>
                </c:pt>
                <c:pt idx="1">
                  <c:v>2do.  Trimestre</c:v>
                </c:pt>
                <c:pt idx="2">
                  <c:v>3er. Trimestre</c:v>
                </c:pt>
              </c:strCache>
            </c:strRef>
          </c:cat>
          <c:val>
            <c:numRef>
              <c:f>'Demanda Total año 2019'!$C$31:$E$31</c:f>
              <c:numCache>
                <c:formatCode>General</c:formatCode>
                <c:ptCount val="3"/>
                <c:pt idx="0">
                  <c:v>119</c:v>
                </c:pt>
                <c:pt idx="1">
                  <c:v>62</c:v>
                </c:pt>
                <c:pt idx="2">
                  <c:v>469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7529728"/>
        <c:axId val="457537176"/>
        <c:axId val="0"/>
      </c:bar3DChart>
      <c:catAx>
        <c:axId val="457529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7537176"/>
        <c:crosses val="autoZero"/>
        <c:auto val="1"/>
        <c:lblAlgn val="ctr"/>
        <c:lblOffset val="100"/>
        <c:noMultiLvlLbl val="0"/>
      </c:catAx>
      <c:valAx>
        <c:axId val="457537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7529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Reuniones con ADESCOS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Pt>
            <c:idx val="4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 III trim 2019'!$R$170:$W$170</c:f>
              <c:strCache>
                <c:ptCount val="5"/>
                <c:pt idx="0">
                  <c:v>Reunión con ADESCOS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III trim 2019'!$R$171:$W$171</c:f>
              <c:numCache>
                <c:formatCode>General</c:formatCode>
                <c:ptCount val="6"/>
                <c:pt idx="0">
                  <c:v>39</c:v>
                </c:pt>
                <c:pt idx="1">
                  <c:v>68</c:v>
                </c:pt>
                <c:pt idx="2">
                  <c:v>125</c:v>
                </c:pt>
                <c:pt idx="3">
                  <c:v>10</c:v>
                </c:pt>
                <c:pt idx="4">
                  <c:v>242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457532472"/>
        <c:axId val="457534824"/>
      </c:barChart>
      <c:catAx>
        <c:axId val="457532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7534824"/>
        <c:crosses val="autoZero"/>
        <c:auto val="1"/>
        <c:lblAlgn val="ctr"/>
        <c:lblOffset val="100"/>
        <c:noMultiLvlLbl val="0"/>
      </c:catAx>
      <c:valAx>
        <c:axId val="45753482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57532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D565E-2C2A-4DC9-8B62-635E46CB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4</Pages>
  <Words>715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MOPTVDU</Company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AC_Moran</dc:creator>
  <cp:lastModifiedBy>Maria Lourdes Parada Alfaro</cp:lastModifiedBy>
  <cp:revision>28</cp:revision>
  <cp:lastPrinted>2018-04-23T15:10:00Z</cp:lastPrinted>
  <dcterms:created xsi:type="dcterms:W3CDTF">2019-10-04T14:09:00Z</dcterms:created>
  <dcterms:modified xsi:type="dcterms:W3CDTF">2019-11-14T15:49:00Z</dcterms:modified>
</cp:coreProperties>
</file>