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FB" w:rsidRPr="00591051" w:rsidRDefault="00E533FB" w:rsidP="00BF41D3">
      <w:pPr>
        <w:spacing w:after="0"/>
        <w:rPr>
          <w:rFonts w:ascii="Times New Roman" w:hAnsi="Times New Roman" w:cs="Times New Roman"/>
          <w:b/>
          <w:lang w:val="es-SV"/>
        </w:rPr>
      </w:pPr>
      <w:bookmarkStart w:id="0" w:name="_GoBack"/>
      <w:bookmarkEnd w:id="0"/>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para articulación del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4-nfasis6"/>
        <w:tblW w:w="9493" w:type="dxa"/>
        <w:tblLayout w:type="fixed"/>
        <w:tblLook w:val="04A0" w:firstRow="1" w:lastRow="0" w:firstColumn="1" w:lastColumn="0" w:noHBand="0" w:noVBand="1"/>
      </w:tblPr>
      <w:tblGrid>
        <w:gridCol w:w="562"/>
        <w:gridCol w:w="1560"/>
        <w:gridCol w:w="3118"/>
        <w:gridCol w:w="2835"/>
        <w:gridCol w:w="1418"/>
      </w:tblGrid>
      <w:tr w:rsidR="009A7627"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grupo de personas que se designen en una comunidad, (pueden ser de la Junta Directiva o referentes de la zona). Para 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Garantizar la participación activa y de corresponsabilidad de la ciudadanía y otros actores locales para el desarrollo del trabajo por el MOPTVDU dentro de una comunidad.</w:t>
            </w:r>
          </w:p>
        </w:tc>
        <w:tc>
          <w:tcPr>
            <w:tcW w:w="1418"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 xml:space="preserve">miento </w:t>
            </w:r>
            <w:proofErr w:type="spellStart"/>
            <w:r w:rsidRPr="00591051">
              <w:rPr>
                <w:rFonts w:ascii="Times New Roman" w:hAnsi="Times New Roman" w:cs="Times New Roman"/>
              </w:rPr>
              <w:lastRenderedPageBreak/>
              <w:t>correspon</w:t>
            </w:r>
            <w:proofErr w:type="spellEnd"/>
            <w:r w:rsidR="006B1965">
              <w:rPr>
                <w:rFonts w:ascii="Times New Roman" w:hAnsi="Times New Roman" w:cs="Times New Roman"/>
              </w:rPr>
              <w:t xml:space="preserve">- </w:t>
            </w:r>
            <w:proofErr w:type="spellStart"/>
            <w:r w:rsidRPr="00591051">
              <w:rPr>
                <w:rFonts w:ascii="Times New Roman" w:hAnsi="Times New Roman" w:cs="Times New Roman"/>
              </w:rPr>
              <w:t>derá</w:t>
            </w:r>
            <w:proofErr w:type="spellEnd"/>
            <w:r w:rsidRPr="00591051">
              <w:rPr>
                <w:rFonts w:ascii="Times New Roman" w:hAnsi="Times New Roman" w:cs="Times New Roman"/>
              </w:rPr>
              <w:t xml:space="preserve"> a los días de duración del proyecto.</w:t>
            </w:r>
          </w:p>
        </w:tc>
      </w:tr>
      <w:tr w:rsidR="00E74EBB"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4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418"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DA738A">
      <w:pPr>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D1388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EA6" w:rsidRDefault="00100EA6">
      <w:pPr>
        <w:spacing w:after="0" w:line="240" w:lineRule="auto"/>
      </w:pPr>
      <w:r>
        <w:separator/>
      </w:r>
    </w:p>
  </w:endnote>
  <w:endnote w:type="continuationSeparator" w:id="0">
    <w:p w:rsidR="00100EA6" w:rsidRDefault="0010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90312A">
          <w:rPr>
            <w:noProof/>
          </w:rPr>
          <w:t>4</w:t>
        </w:r>
        <w:r>
          <w:rPr>
            <w:noProof/>
          </w:rPr>
          <w:fldChar w:fldCharType="end"/>
        </w:r>
      </w:p>
    </w:sdtContent>
  </w:sdt>
  <w:p w:rsidR="003D535B" w:rsidRDefault="00100E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EA6" w:rsidRDefault="00100EA6">
      <w:pPr>
        <w:spacing w:after="0" w:line="240" w:lineRule="auto"/>
      </w:pPr>
      <w:r>
        <w:separator/>
      </w:r>
    </w:p>
  </w:footnote>
  <w:footnote w:type="continuationSeparator" w:id="0">
    <w:p w:rsidR="00100EA6" w:rsidRDefault="00100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3"/>
    <w:rsid w:val="000243EA"/>
    <w:rsid w:val="00036F31"/>
    <w:rsid w:val="000460DF"/>
    <w:rsid w:val="00071EA9"/>
    <w:rsid w:val="000A4B78"/>
    <w:rsid w:val="000D2B8E"/>
    <w:rsid w:val="000E542A"/>
    <w:rsid w:val="00100EA6"/>
    <w:rsid w:val="00127157"/>
    <w:rsid w:val="00152392"/>
    <w:rsid w:val="00163ACC"/>
    <w:rsid w:val="00172939"/>
    <w:rsid w:val="001B1AFA"/>
    <w:rsid w:val="001E4C16"/>
    <w:rsid w:val="00202B4C"/>
    <w:rsid w:val="00226D39"/>
    <w:rsid w:val="002B24B6"/>
    <w:rsid w:val="00367D3F"/>
    <w:rsid w:val="00372953"/>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53B85"/>
    <w:rsid w:val="008810F5"/>
    <w:rsid w:val="0090312A"/>
    <w:rsid w:val="0095781C"/>
    <w:rsid w:val="00963E32"/>
    <w:rsid w:val="009A7627"/>
    <w:rsid w:val="00A74777"/>
    <w:rsid w:val="00B226EC"/>
    <w:rsid w:val="00B703F7"/>
    <w:rsid w:val="00BB780A"/>
    <w:rsid w:val="00BF41D3"/>
    <w:rsid w:val="00BF4690"/>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con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C63E-F9A4-4908-ADDA-83015F15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Nilson Alejandro  Castellanos</cp:lastModifiedBy>
  <cp:revision>2</cp:revision>
  <dcterms:created xsi:type="dcterms:W3CDTF">2019-07-23T13:57:00Z</dcterms:created>
  <dcterms:modified xsi:type="dcterms:W3CDTF">2019-07-23T13:57:00Z</dcterms:modified>
</cp:coreProperties>
</file>