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FB" w:rsidRDefault="00E533FB" w:rsidP="00BF41D3">
      <w:pPr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SV"/>
        </w:rPr>
        <w:t xml:space="preserve">Espacios y </w:t>
      </w:r>
      <w:r w:rsidR="007038B3" w:rsidRPr="007038B3">
        <w:rPr>
          <w:rFonts w:ascii="Times New Roman" w:hAnsi="Times New Roman" w:cs="Times New Roman"/>
          <w:b/>
          <w:sz w:val="24"/>
          <w:szCs w:val="24"/>
          <w:lang w:val="es-SV"/>
        </w:rPr>
        <w:t xml:space="preserve">Mecanismos de </w:t>
      </w:r>
      <w:r w:rsidR="00D3413B">
        <w:rPr>
          <w:rFonts w:ascii="Times New Roman" w:hAnsi="Times New Roman" w:cs="Times New Roman"/>
          <w:b/>
          <w:sz w:val="24"/>
          <w:szCs w:val="24"/>
          <w:lang w:val="es-SV"/>
        </w:rPr>
        <w:t>P</w:t>
      </w:r>
      <w:r w:rsidR="007038B3" w:rsidRPr="007038B3">
        <w:rPr>
          <w:rFonts w:ascii="Times New Roman" w:hAnsi="Times New Roman" w:cs="Times New Roman"/>
          <w:b/>
          <w:sz w:val="24"/>
          <w:szCs w:val="24"/>
          <w:lang w:val="es-SV"/>
        </w:rPr>
        <w:t xml:space="preserve">articipación </w:t>
      </w:r>
      <w:r w:rsidR="00D3413B">
        <w:rPr>
          <w:rFonts w:ascii="Times New Roman" w:hAnsi="Times New Roman" w:cs="Times New Roman"/>
          <w:b/>
          <w:sz w:val="24"/>
          <w:szCs w:val="24"/>
          <w:lang w:val="es-SV"/>
        </w:rPr>
        <w:t>Ci</w:t>
      </w:r>
      <w:r w:rsidR="007038B3" w:rsidRPr="007038B3">
        <w:rPr>
          <w:rFonts w:ascii="Times New Roman" w:hAnsi="Times New Roman" w:cs="Times New Roman"/>
          <w:b/>
          <w:sz w:val="24"/>
          <w:szCs w:val="24"/>
          <w:lang w:val="es-SV"/>
        </w:rPr>
        <w:t>udadana implementados</w:t>
      </w:r>
    </w:p>
    <w:p w:rsidR="007038B3" w:rsidRPr="007038B3" w:rsidRDefault="00E533FB" w:rsidP="00BF41D3">
      <w:pPr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038B3">
        <w:rPr>
          <w:rFonts w:ascii="Times New Roman" w:hAnsi="Times New Roman" w:cs="Times New Roman"/>
          <w:b/>
          <w:sz w:val="24"/>
          <w:szCs w:val="24"/>
          <w:lang w:val="es-SV"/>
        </w:rPr>
        <w:t>Por</w:t>
      </w:r>
      <w:r w:rsidR="007038B3" w:rsidRPr="007038B3">
        <w:rPr>
          <w:rFonts w:ascii="Times New Roman" w:hAnsi="Times New Roman" w:cs="Times New Roman"/>
          <w:b/>
          <w:sz w:val="24"/>
          <w:szCs w:val="24"/>
          <w:lang w:val="es-SV"/>
        </w:rPr>
        <w:t xml:space="preserve"> el MOPTVDU a través de la Unidad de Gestión Social</w:t>
      </w:r>
    </w:p>
    <w:p w:rsidR="007038B3" w:rsidRDefault="007038B3" w:rsidP="00BF41D3">
      <w:pPr>
        <w:spacing w:after="0" w:line="240" w:lineRule="auto"/>
        <w:jc w:val="both"/>
        <w:rPr>
          <w:rFonts w:ascii="Times New Roman" w:hAnsi="Times New Roman" w:cs="Times New Roman"/>
          <w:sz w:val="28"/>
          <w:lang w:val="es-SV"/>
        </w:rPr>
      </w:pPr>
    </w:p>
    <w:p w:rsidR="007C4E70" w:rsidRDefault="007038B3" w:rsidP="00BF41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 xml:space="preserve">El </w:t>
      </w:r>
      <w:r w:rsidRPr="00332FD8">
        <w:rPr>
          <w:rFonts w:ascii="Times New Roman" w:hAnsi="Times New Roman" w:cs="Times New Roman"/>
          <w:sz w:val="24"/>
          <w:szCs w:val="24"/>
          <w:lang w:val="es-SV"/>
        </w:rPr>
        <w:t>MOPTVDU d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esde la administración del </w:t>
      </w:r>
      <w:r w:rsidR="007C4E70">
        <w:rPr>
          <w:rFonts w:ascii="Times New Roman" w:hAnsi="Times New Roman" w:cs="Times New Roman"/>
          <w:sz w:val="24"/>
          <w:szCs w:val="24"/>
          <w:lang w:val="es-SV"/>
        </w:rPr>
        <w:t>Exministro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 de Obras Públicas Gerson Martinez, </w:t>
      </w:r>
      <w:r w:rsidR="007C4E70">
        <w:rPr>
          <w:rFonts w:ascii="Times New Roman" w:hAnsi="Times New Roman" w:cs="Times New Roman"/>
          <w:sz w:val="24"/>
          <w:szCs w:val="24"/>
          <w:lang w:val="es-SV"/>
        </w:rPr>
        <w:t xml:space="preserve">tiene como enfoque fundamental la gestión social, unas de las frases con las cuales el Exministro recordaba y reforzaba este enfoque en eventos internos o externos son: </w:t>
      </w:r>
      <w:r w:rsidR="007C4E70" w:rsidRPr="00D3413B">
        <w:rPr>
          <w:rFonts w:ascii="Times New Roman" w:hAnsi="Times New Roman" w:cs="Times New Roman"/>
          <w:b/>
          <w:sz w:val="24"/>
          <w:szCs w:val="24"/>
          <w:lang w:val="es-SV"/>
        </w:rPr>
        <w:t xml:space="preserve">“la población es el </w:t>
      </w:r>
      <w:r w:rsidR="007C4E70" w:rsidRPr="00D3413B">
        <w:rPr>
          <w:rFonts w:ascii="Times New Roman" w:hAnsi="Times New Roman" w:cs="Times New Roman"/>
          <w:b/>
          <w:sz w:val="24"/>
          <w:szCs w:val="24"/>
        </w:rPr>
        <w:t>principio y el fin de la obra pública”</w:t>
      </w:r>
      <w:r w:rsidR="007C4E70">
        <w:rPr>
          <w:rFonts w:ascii="Times New Roman" w:hAnsi="Times New Roman" w:cs="Times New Roman"/>
          <w:sz w:val="24"/>
          <w:szCs w:val="24"/>
        </w:rPr>
        <w:t xml:space="preserve">, </w:t>
      </w:r>
      <w:r w:rsidR="007C4E70" w:rsidRPr="000460DF">
        <w:rPr>
          <w:rFonts w:ascii="Times New Roman" w:hAnsi="Times New Roman" w:cs="Times New Roman"/>
          <w:b/>
          <w:sz w:val="24"/>
          <w:szCs w:val="24"/>
        </w:rPr>
        <w:t>“la población es el soberano”</w:t>
      </w:r>
      <w:r w:rsidR="007C4E70">
        <w:rPr>
          <w:rFonts w:ascii="Times New Roman" w:hAnsi="Times New Roman" w:cs="Times New Roman"/>
          <w:sz w:val="24"/>
          <w:szCs w:val="24"/>
        </w:rPr>
        <w:t>.</w:t>
      </w:r>
    </w:p>
    <w:p w:rsidR="007C4E70" w:rsidRDefault="007C4E70" w:rsidP="00BF41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>E</w:t>
      </w:r>
      <w:r w:rsidR="007038B3">
        <w:rPr>
          <w:rFonts w:ascii="Times New Roman" w:hAnsi="Times New Roman" w:cs="Times New Roman"/>
          <w:sz w:val="24"/>
          <w:szCs w:val="24"/>
          <w:lang w:val="es-SV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los </w:t>
      </w:r>
      <w:r w:rsidR="007038B3">
        <w:rPr>
          <w:rFonts w:ascii="Times New Roman" w:hAnsi="Times New Roman" w:cs="Times New Roman"/>
          <w:sz w:val="24"/>
          <w:szCs w:val="24"/>
          <w:lang w:val="es-SV"/>
        </w:rPr>
        <w:t xml:space="preserve">periodos anteriores al 2009   </w:t>
      </w:r>
      <w:r w:rsidR="007038B3" w:rsidRPr="007038B3">
        <w:rPr>
          <w:rFonts w:ascii="Times New Roman" w:hAnsi="Times New Roman" w:cs="Times New Roman"/>
          <w:b/>
          <w:sz w:val="24"/>
          <w:szCs w:val="24"/>
          <w:lang w:val="es-SV"/>
        </w:rPr>
        <w:t>NO EXISTIA</w:t>
      </w:r>
      <w:r w:rsidR="007038B3">
        <w:rPr>
          <w:rFonts w:ascii="Times New Roman" w:hAnsi="Times New Roman" w:cs="Times New Roman"/>
          <w:sz w:val="24"/>
          <w:szCs w:val="24"/>
          <w:lang w:val="es-SV"/>
        </w:rPr>
        <w:t xml:space="preserve"> una Unidad con el fin de realizar la gestión social en los proyectos de obra pública. </w:t>
      </w:r>
      <w:r>
        <w:rPr>
          <w:rFonts w:ascii="Times New Roman" w:hAnsi="Times New Roman" w:cs="Times New Roman"/>
          <w:sz w:val="24"/>
          <w:szCs w:val="24"/>
          <w:lang w:val="es-SV"/>
        </w:rPr>
        <w:t>Fue Gerson Martinez quien crea la Unidad de Gestión Social, y da impulso al enfoque social como prioridad.</w:t>
      </w:r>
    </w:p>
    <w:p w:rsidR="007561A1" w:rsidRDefault="007C4E70" w:rsidP="00BF41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>Actualmente e</w:t>
      </w:r>
      <w:r w:rsidR="007561A1">
        <w:rPr>
          <w:rFonts w:ascii="Times New Roman" w:hAnsi="Times New Roman" w:cs="Times New Roman"/>
          <w:sz w:val="24"/>
          <w:szCs w:val="24"/>
          <w:lang w:val="es-SV"/>
        </w:rPr>
        <w:t xml:space="preserve">l Ministerio bajo </w:t>
      </w:r>
      <w:r w:rsidR="00172939">
        <w:rPr>
          <w:rFonts w:ascii="Times New Roman" w:hAnsi="Times New Roman" w:cs="Times New Roman"/>
          <w:sz w:val="24"/>
          <w:szCs w:val="24"/>
          <w:lang w:val="es-SV"/>
        </w:rPr>
        <w:t xml:space="preserve">la dirección del </w:t>
      </w:r>
      <w:r w:rsidR="007561A1">
        <w:rPr>
          <w:rFonts w:ascii="Times New Roman" w:hAnsi="Times New Roman" w:cs="Times New Roman"/>
          <w:sz w:val="24"/>
          <w:szCs w:val="24"/>
          <w:lang w:val="es-SV"/>
        </w:rPr>
        <w:t xml:space="preserve">Arq. </w:t>
      </w:r>
      <w:proofErr w:type="spellStart"/>
      <w:r w:rsidR="007561A1">
        <w:rPr>
          <w:rFonts w:ascii="Times New Roman" w:hAnsi="Times New Roman" w:cs="Times New Roman"/>
          <w:sz w:val="24"/>
          <w:szCs w:val="24"/>
          <w:lang w:val="es-SV"/>
        </w:rPr>
        <w:t>Eliu</w:t>
      </w:r>
      <w:r w:rsidR="000460DF">
        <w:rPr>
          <w:rFonts w:ascii="Times New Roman" w:hAnsi="Times New Roman" w:cs="Times New Roman"/>
          <w:sz w:val="24"/>
          <w:szCs w:val="24"/>
          <w:lang w:val="es-SV"/>
        </w:rPr>
        <w:t>d</w:t>
      </w:r>
      <w:proofErr w:type="spellEnd"/>
      <w:r w:rsidR="007561A1">
        <w:rPr>
          <w:rFonts w:ascii="Times New Roman" w:hAnsi="Times New Roman" w:cs="Times New Roman"/>
          <w:sz w:val="24"/>
          <w:szCs w:val="24"/>
          <w:lang w:val="es-SV"/>
        </w:rPr>
        <w:t xml:space="preserve"> Ayala ha mantenido este enfoque de trabajo e incluso con una proyección de fortalecerl</w:t>
      </w:r>
      <w:r w:rsidR="00172939">
        <w:rPr>
          <w:rFonts w:ascii="Times New Roman" w:hAnsi="Times New Roman" w:cs="Times New Roman"/>
          <w:sz w:val="24"/>
          <w:szCs w:val="24"/>
          <w:lang w:val="es-SV"/>
        </w:rPr>
        <w:t>o</w:t>
      </w:r>
      <w:r w:rsidR="007561A1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y tener mayor cobertura con los Espacios y </w:t>
      </w:r>
      <w:r w:rsidR="007561A1">
        <w:rPr>
          <w:rFonts w:ascii="Times New Roman" w:hAnsi="Times New Roman" w:cs="Times New Roman"/>
          <w:sz w:val="24"/>
          <w:szCs w:val="24"/>
          <w:lang w:val="es-SV"/>
        </w:rPr>
        <w:t>Mecanismos de Participación Ciudadana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, para lo cual se está trabajando </w:t>
      </w:r>
      <w:r w:rsidR="00172939">
        <w:rPr>
          <w:rFonts w:ascii="Times New Roman" w:hAnsi="Times New Roman" w:cs="Times New Roman"/>
          <w:sz w:val="24"/>
          <w:szCs w:val="24"/>
          <w:lang w:val="es-SV"/>
        </w:rPr>
        <w:t>una propuesta, que se dará a conocer en su momento.</w:t>
      </w:r>
    </w:p>
    <w:p w:rsidR="00EB78B7" w:rsidRDefault="00EB78B7" w:rsidP="00BF41D3">
      <w:pPr>
        <w:spacing w:line="240" w:lineRule="auto"/>
        <w:jc w:val="left"/>
        <w:rPr>
          <w:rFonts w:ascii="Times New Roman" w:hAnsi="Times New Roman" w:cs="Times New Roman"/>
        </w:rPr>
      </w:pPr>
    </w:p>
    <w:p w:rsidR="004F1AEC" w:rsidRPr="004F1AEC" w:rsidRDefault="00E533FB" w:rsidP="000460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Espacios y </w:t>
      </w:r>
      <w:r w:rsidR="007038B3" w:rsidRPr="004F1AEC">
        <w:rPr>
          <w:rFonts w:ascii="Times New Roman" w:hAnsi="Times New Roman" w:cs="Times New Roman"/>
          <w:b/>
        </w:rPr>
        <w:t xml:space="preserve">mecanismos de Participación Ciudadana </w:t>
      </w:r>
      <w:r w:rsidR="00BF41D3" w:rsidRPr="004F1AEC">
        <w:rPr>
          <w:rFonts w:ascii="Times New Roman" w:hAnsi="Times New Roman" w:cs="Times New Roman"/>
          <w:b/>
        </w:rPr>
        <w:t xml:space="preserve">Impulsados </w:t>
      </w:r>
      <w:r>
        <w:rPr>
          <w:rFonts w:ascii="Times New Roman" w:hAnsi="Times New Roman" w:cs="Times New Roman"/>
          <w:b/>
        </w:rPr>
        <w:t xml:space="preserve">por </w:t>
      </w:r>
      <w:r w:rsidR="00BF41D3" w:rsidRPr="004F1AEC">
        <w:rPr>
          <w:rFonts w:ascii="Times New Roman" w:hAnsi="Times New Roman" w:cs="Times New Roman"/>
          <w:b/>
        </w:rPr>
        <w:t>Unidad de Gesti</w:t>
      </w:r>
      <w:r w:rsidR="000460DF" w:rsidRPr="004F1AEC">
        <w:rPr>
          <w:rFonts w:ascii="Times New Roman" w:hAnsi="Times New Roman" w:cs="Times New Roman"/>
          <w:b/>
        </w:rPr>
        <w:t>ón Social</w:t>
      </w:r>
    </w:p>
    <w:tbl>
      <w:tblPr>
        <w:tblStyle w:val="GridTable4Accent2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827"/>
        <w:gridCol w:w="2977"/>
      </w:tblGrid>
      <w:tr w:rsidR="00D1388C" w:rsidRPr="00D1388C" w:rsidTr="00172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BF41D3">
            <w:pPr>
              <w:rPr>
                <w:rFonts w:ascii="Arial Narrow" w:hAnsi="Arial Narrow" w:cs="Times New Roman"/>
              </w:rPr>
            </w:pPr>
            <w:r w:rsidRPr="00D1388C">
              <w:rPr>
                <w:rFonts w:ascii="Arial Narrow" w:hAnsi="Arial Narrow" w:cs="Times New Roman"/>
              </w:rPr>
              <w:t>No.</w:t>
            </w:r>
          </w:p>
        </w:tc>
        <w:tc>
          <w:tcPr>
            <w:tcW w:w="1560" w:type="dxa"/>
          </w:tcPr>
          <w:p w:rsidR="00D1388C" w:rsidRPr="00D1388C" w:rsidRDefault="00BF41D3" w:rsidP="00BF4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</w:rPr>
            </w:pPr>
            <w:r>
              <w:rPr>
                <w:rFonts w:ascii="Arial Narrow" w:hAnsi="Arial Narrow" w:cs="Times New Roman"/>
                <w:b w:val="0"/>
              </w:rPr>
              <w:t>Nombre</w:t>
            </w:r>
          </w:p>
        </w:tc>
        <w:tc>
          <w:tcPr>
            <w:tcW w:w="3827" w:type="dxa"/>
          </w:tcPr>
          <w:p w:rsidR="00D1388C" w:rsidRPr="00D1388C" w:rsidRDefault="00D1388C" w:rsidP="00BF4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</w:rPr>
            </w:pPr>
            <w:r>
              <w:rPr>
                <w:rFonts w:ascii="Arial Narrow" w:hAnsi="Arial Narrow" w:cs="Times New Roman"/>
                <w:b w:val="0"/>
              </w:rPr>
              <w:t>Definición</w:t>
            </w:r>
          </w:p>
        </w:tc>
        <w:tc>
          <w:tcPr>
            <w:tcW w:w="2977" w:type="dxa"/>
          </w:tcPr>
          <w:p w:rsidR="00D1388C" w:rsidRPr="00D1388C" w:rsidRDefault="00BF41D3" w:rsidP="00BF4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</w:rPr>
            </w:pPr>
            <w:r>
              <w:rPr>
                <w:rFonts w:ascii="Arial Narrow" w:hAnsi="Arial Narrow" w:cs="Times New Roman"/>
                <w:b w:val="0"/>
              </w:rPr>
              <w:t>Objetivo</w:t>
            </w:r>
          </w:p>
        </w:tc>
      </w:tr>
      <w:tr w:rsidR="00D1388C" w:rsidTr="0017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Audiencia con titulares</w:t>
            </w:r>
          </w:p>
        </w:tc>
        <w:tc>
          <w:tcPr>
            <w:tcW w:w="3827" w:type="dxa"/>
          </w:tcPr>
          <w:p w:rsidR="00D1388C" w:rsidRDefault="00BF41D3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SV"/>
              </w:rPr>
              <w:t>Es un espacio que los titulares del Ministerio otorgan a la</w:t>
            </w:r>
            <w:r w:rsidR="00E129A8">
              <w:rPr>
                <w:rFonts w:ascii="Times New Roman" w:hAnsi="Times New Roman" w:cs="Times New Roman"/>
                <w:lang w:val="es-SV"/>
              </w:rPr>
              <w:t xml:space="preserve"> ciudadanía (población organizada, municipalidades, instituciones no gubernamentales, </w:t>
            </w:r>
            <w:proofErr w:type="gramStart"/>
            <w:r w:rsidR="00E129A8">
              <w:rPr>
                <w:rFonts w:ascii="Times New Roman" w:hAnsi="Times New Roman" w:cs="Times New Roman"/>
                <w:lang w:val="es-SV"/>
              </w:rPr>
              <w:t>etc..</w:t>
            </w:r>
            <w:proofErr w:type="gramEnd"/>
            <w:r w:rsidR="00E129A8">
              <w:rPr>
                <w:rFonts w:ascii="Times New Roman" w:hAnsi="Times New Roman" w:cs="Times New Roman"/>
                <w:lang w:val="es-SV"/>
              </w:rPr>
              <w:t xml:space="preserve">) </w:t>
            </w:r>
            <w:r w:rsidR="00D1388C" w:rsidRPr="00D1388C">
              <w:rPr>
                <w:rFonts w:ascii="Times New Roman" w:hAnsi="Times New Roman" w:cs="Times New Roman"/>
                <w:lang w:val="es-SV"/>
              </w:rPr>
              <w:t>previa solicitud y programación</w:t>
            </w:r>
            <w:r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="00E129A8">
              <w:rPr>
                <w:rFonts w:ascii="Times New Roman" w:hAnsi="Times New Roman" w:cs="Times New Roman"/>
                <w:lang w:val="es-SV"/>
              </w:rPr>
              <w:t xml:space="preserve">con </w:t>
            </w:r>
            <w:r>
              <w:rPr>
                <w:rFonts w:ascii="Times New Roman" w:hAnsi="Times New Roman" w:cs="Times New Roman"/>
                <w:lang w:val="es-SV"/>
              </w:rPr>
              <w:t>el área del despacho</w:t>
            </w:r>
            <w:r w:rsidR="00E129A8">
              <w:rPr>
                <w:rFonts w:ascii="Times New Roman" w:hAnsi="Times New Roman" w:cs="Times New Roman"/>
                <w:lang w:val="es-SV"/>
              </w:rPr>
              <w:t xml:space="preserve">, </w:t>
            </w:r>
            <w:r w:rsidR="00E129A8" w:rsidRPr="00D1388C">
              <w:rPr>
                <w:rFonts w:ascii="Times New Roman" w:hAnsi="Times New Roman" w:cs="Times New Roman"/>
                <w:lang w:val="es-SV"/>
              </w:rPr>
              <w:t xml:space="preserve">para intercambiar información </w:t>
            </w:r>
            <w:r w:rsidR="00F12FE0">
              <w:rPr>
                <w:rFonts w:ascii="Times New Roman" w:hAnsi="Times New Roman" w:cs="Times New Roman"/>
                <w:lang w:val="es-SV"/>
              </w:rPr>
              <w:t xml:space="preserve">de interés para ambas partes. </w:t>
            </w:r>
            <w:r w:rsidR="00F12FE0">
              <w:rPr>
                <w:rFonts w:ascii="Times New Roman" w:hAnsi="Times New Roman" w:cs="Times New Roman"/>
              </w:rPr>
              <w:t xml:space="preserve">Implementándose un enfoque de </w:t>
            </w:r>
            <w:r w:rsidR="00F12FE0" w:rsidRPr="00E129A8">
              <w:rPr>
                <w:rFonts w:ascii="Times New Roman" w:hAnsi="Times New Roman" w:cs="Times New Roman"/>
                <w:b/>
              </w:rPr>
              <w:t>“principio de solución”</w:t>
            </w:r>
            <w:r w:rsidR="00F12FE0" w:rsidRPr="00940C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D1388C" w:rsidRPr="00940C47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Facilitar el derecho </w:t>
            </w:r>
            <w:r w:rsidR="00BF41D3">
              <w:rPr>
                <w:rFonts w:ascii="Times New Roman" w:hAnsi="Times New Roman" w:cs="Times New Roman"/>
              </w:rPr>
              <w:t xml:space="preserve">de la ciudadanía </w:t>
            </w:r>
            <w:r w:rsidR="00E129A8">
              <w:rPr>
                <w:rFonts w:ascii="Times New Roman" w:hAnsi="Times New Roman" w:cs="Times New Roman"/>
              </w:rPr>
              <w:t xml:space="preserve">al </w:t>
            </w:r>
            <w:r>
              <w:rPr>
                <w:rFonts w:ascii="Times New Roman" w:hAnsi="Times New Roman" w:cs="Times New Roman"/>
              </w:rPr>
              <w:t xml:space="preserve">dialogo directo con </w:t>
            </w:r>
            <w:r w:rsidR="00F12FE0">
              <w:rPr>
                <w:rFonts w:ascii="Times New Roman" w:hAnsi="Times New Roman" w:cs="Times New Roman"/>
              </w:rPr>
              <w:t xml:space="preserve">funcionarios públicos </w:t>
            </w:r>
            <w:r>
              <w:rPr>
                <w:rFonts w:ascii="Times New Roman" w:hAnsi="Times New Roman" w:cs="Times New Roman"/>
              </w:rPr>
              <w:t xml:space="preserve">a fin de </w:t>
            </w:r>
            <w:r w:rsidR="00F12FE0">
              <w:rPr>
                <w:rFonts w:ascii="Times New Roman" w:hAnsi="Times New Roman" w:cs="Times New Roman"/>
              </w:rPr>
              <w:t xml:space="preserve">que exponga sus temas de interés </w:t>
            </w:r>
            <w:r w:rsidR="00F12FE0" w:rsidRPr="00D1388C">
              <w:rPr>
                <w:rFonts w:ascii="Times New Roman" w:hAnsi="Times New Roman" w:cs="Times New Roman"/>
                <w:lang w:val="es-SV"/>
              </w:rPr>
              <w:t>relacionad</w:t>
            </w:r>
            <w:r w:rsidR="00F12FE0">
              <w:rPr>
                <w:rFonts w:ascii="Times New Roman" w:hAnsi="Times New Roman" w:cs="Times New Roman"/>
                <w:lang w:val="es-SV"/>
              </w:rPr>
              <w:t>a</w:t>
            </w:r>
            <w:r w:rsidR="00F12FE0" w:rsidRPr="00D1388C">
              <w:rPr>
                <w:rFonts w:ascii="Times New Roman" w:hAnsi="Times New Roman" w:cs="Times New Roman"/>
                <w:lang w:val="es-SV"/>
              </w:rPr>
              <w:t xml:space="preserve"> con la gestión, formulación, ejecuc</w:t>
            </w:r>
            <w:r w:rsidR="00F12FE0">
              <w:rPr>
                <w:rFonts w:ascii="Times New Roman" w:hAnsi="Times New Roman" w:cs="Times New Roman"/>
                <w:lang w:val="es-SV"/>
              </w:rPr>
              <w:t xml:space="preserve">ión y evaluación de proyectos de </w:t>
            </w:r>
            <w:r w:rsidR="00E129A8">
              <w:rPr>
                <w:rFonts w:ascii="Times New Roman" w:hAnsi="Times New Roman" w:cs="Times New Roman"/>
              </w:rPr>
              <w:t>competencia institucional</w:t>
            </w:r>
            <w:r w:rsidR="00F12FE0">
              <w:rPr>
                <w:rFonts w:ascii="Times New Roman" w:hAnsi="Times New Roman" w:cs="Times New Roman"/>
              </w:rPr>
              <w:t>.</w:t>
            </w:r>
          </w:p>
        </w:tc>
      </w:tr>
      <w:tr w:rsidR="00D1388C" w:rsidTr="00172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 Abierto</w:t>
            </w:r>
          </w:p>
        </w:tc>
        <w:tc>
          <w:tcPr>
            <w:tcW w:w="3827" w:type="dxa"/>
          </w:tcPr>
          <w:p w:rsidR="00D1388C" w:rsidRDefault="00EF77AC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 la posibilidad que la</w:t>
            </w:r>
            <w:r w:rsidR="00D1388C" w:rsidRPr="00D1388C">
              <w:rPr>
                <w:rFonts w:ascii="Times New Roman" w:hAnsi="Times New Roman" w:cs="Times New Roman"/>
              </w:rPr>
              <w:t xml:space="preserve"> ciudadanía </w:t>
            </w:r>
            <w:r>
              <w:rPr>
                <w:rFonts w:ascii="Times New Roman" w:hAnsi="Times New Roman" w:cs="Times New Roman"/>
              </w:rPr>
              <w:t xml:space="preserve">tiene para </w:t>
            </w:r>
            <w:r w:rsidR="00D1388C" w:rsidRPr="00D1388C">
              <w:rPr>
                <w:rFonts w:ascii="Times New Roman" w:hAnsi="Times New Roman" w:cs="Times New Roman"/>
              </w:rPr>
              <w:t xml:space="preserve">hacer uso de líneas </w:t>
            </w:r>
            <w:r w:rsidR="00F12FE0">
              <w:rPr>
                <w:rFonts w:ascii="Times New Roman" w:hAnsi="Times New Roman" w:cs="Times New Roman"/>
              </w:rPr>
              <w:t xml:space="preserve">fijas y de todas las aplicaciones de los teléfonos </w:t>
            </w:r>
            <w:r w:rsidR="00D1388C" w:rsidRPr="00D1388C">
              <w:rPr>
                <w:rFonts w:ascii="Times New Roman" w:hAnsi="Times New Roman" w:cs="Times New Roman"/>
              </w:rPr>
              <w:t>móviles que la UGS pone a disposición para recibir  quejas, denuncia y reclamos.</w:t>
            </w:r>
            <w:r w:rsidR="00F12FE0">
              <w:rPr>
                <w:rFonts w:ascii="Times New Roman" w:hAnsi="Times New Roman" w:cs="Times New Roman"/>
              </w:rPr>
              <w:t xml:space="preserve"> </w:t>
            </w:r>
            <w:r w:rsidR="00D1388C" w:rsidRPr="00D1388C">
              <w:rPr>
                <w:rFonts w:ascii="Times New Roman" w:hAnsi="Times New Roman" w:cs="Times New Roman"/>
              </w:rPr>
              <w:t>Así como consultas y sugerencias.</w:t>
            </w:r>
          </w:p>
        </w:tc>
        <w:tc>
          <w:tcPr>
            <w:tcW w:w="297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Ofrecer a la ciudadanía </w:t>
            </w:r>
            <w:r w:rsidR="00F12FE0">
              <w:rPr>
                <w:rFonts w:ascii="Times New Roman" w:hAnsi="Times New Roman" w:cs="Times New Roman"/>
              </w:rPr>
              <w:t xml:space="preserve">una vía </w:t>
            </w:r>
            <w:r>
              <w:rPr>
                <w:rFonts w:ascii="Times New Roman" w:hAnsi="Times New Roman" w:cs="Times New Roman"/>
              </w:rPr>
              <w:t>de comunicación</w:t>
            </w:r>
            <w:r w:rsidR="00F12F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directa</w:t>
            </w:r>
            <w:r w:rsidR="00F12F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que le facilite</w:t>
            </w:r>
            <w:r w:rsidR="00F12FE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reportar un problema, dar su opinión o suge</w:t>
            </w:r>
            <w:r w:rsidR="00F12FE0">
              <w:rPr>
                <w:rFonts w:ascii="Times New Roman" w:hAnsi="Times New Roman" w:cs="Times New Roman"/>
              </w:rPr>
              <w:t xml:space="preserve">rencias, dar seguimiento a solicitudes, coordinar visitas, </w:t>
            </w:r>
            <w:r>
              <w:rPr>
                <w:rFonts w:ascii="Times New Roman" w:hAnsi="Times New Roman" w:cs="Times New Roman"/>
              </w:rPr>
              <w:t>entre otros temas de interés.</w:t>
            </w:r>
          </w:p>
        </w:tc>
      </w:tr>
      <w:tr w:rsidR="00D1388C" w:rsidTr="0017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Asambleas comunitarias informativas y resolutivas</w:t>
            </w:r>
          </w:p>
        </w:tc>
        <w:tc>
          <w:tcPr>
            <w:tcW w:w="382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388C">
              <w:rPr>
                <w:rFonts w:ascii="Times New Roman" w:hAnsi="Times New Roman" w:cs="Times New Roman"/>
                <w:lang w:val="es-SV"/>
              </w:rPr>
              <w:t xml:space="preserve">Es </w:t>
            </w:r>
            <w:r w:rsidR="00EF77AC">
              <w:rPr>
                <w:rFonts w:ascii="Times New Roman" w:hAnsi="Times New Roman" w:cs="Times New Roman"/>
                <w:lang w:val="es-SV"/>
              </w:rPr>
              <w:t xml:space="preserve">un </w:t>
            </w:r>
            <w:r w:rsidRPr="00D1388C">
              <w:rPr>
                <w:rFonts w:ascii="Times New Roman" w:hAnsi="Times New Roman" w:cs="Times New Roman"/>
                <w:lang w:val="es-SV"/>
              </w:rPr>
              <w:t>encuentro ampliado entre</w:t>
            </w:r>
            <w:r w:rsidR="00EF77AC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="00EF77AC" w:rsidRPr="00D1388C">
              <w:rPr>
                <w:rFonts w:ascii="Times New Roman" w:hAnsi="Times New Roman" w:cs="Times New Roman"/>
                <w:lang w:val="es-SV"/>
              </w:rPr>
              <w:t>el MOP</w:t>
            </w:r>
            <w:r w:rsidR="00EF77AC">
              <w:rPr>
                <w:rFonts w:ascii="Times New Roman" w:hAnsi="Times New Roman" w:cs="Times New Roman"/>
                <w:lang w:val="es-SV"/>
              </w:rPr>
              <w:t xml:space="preserve">, la </w:t>
            </w:r>
            <w:r w:rsidRPr="00D1388C">
              <w:rPr>
                <w:rFonts w:ascii="Times New Roman" w:hAnsi="Times New Roman" w:cs="Times New Roman"/>
                <w:lang w:val="es-SV"/>
              </w:rPr>
              <w:t>comunidad</w:t>
            </w:r>
            <w:r w:rsidR="00EF77AC">
              <w:rPr>
                <w:rFonts w:ascii="Times New Roman" w:hAnsi="Times New Roman" w:cs="Times New Roman"/>
                <w:lang w:val="es-SV"/>
              </w:rPr>
              <w:t>, y representación de la municipalidad. Con la finalidad de informar, tomar decisiones, consultar o evaluar.</w:t>
            </w:r>
          </w:p>
        </w:tc>
        <w:tc>
          <w:tcPr>
            <w:tcW w:w="297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Promover </w:t>
            </w:r>
            <w:r w:rsidR="00EF77AC">
              <w:rPr>
                <w:rFonts w:ascii="Times New Roman" w:hAnsi="Times New Roman" w:cs="Times New Roman"/>
              </w:rPr>
              <w:t xml:space="preserve">la </w:t>
            </w:r>
            <w:r>
              <w:rPr>
                <w:rFonts w:ascii="Times New Roman" w:hAnsi="Times New Roman" w:cs="Times New Roman"/>
              </w:rPr>
              <w:t>coordinación</w:t>
            </w:r>
            <w:r w:rsidR="00EF77AC">
              <w:rPr>
                <w:rFonts w:ascii="Times New Roman" w:hAnsi="Times New Roman" w:cs="Times New Roman"/>
              </w:rPr>
              <w:t>,</w:t>
            </w:r>
            <w:r w:rsidR="00152392">
              <w:rPr>
                <w:rFonts w:ascii="Times New Roman" w:hAnsi="Times New Roman" w:cs="Times New Roman"/>
              </w:rPr>
              <w:t xml:space="preserve"> comunicación y cooperación</w:t>
            </w:r>
            <w:r>
              <w:rPr>
                <w:rFonts w:ascii="Times New Roman" w:hAnsi="Times New Roman" w:cs="Times New Roman"/>
              </w:rPr>
              <w:t xml:space="preserve"> con la población </w:t>
            </w:r>
            <w:r w:rsidR="00152392">
              <w:rPr>
                <w:rFonts w:ascii="Times New Roman" w:hAnsi="Times New Roman" w:cs="Times New Roman"/>
              </w:rPr>
              <w:t xml:space="preserve">interesada y beneficiada, </w:t>
            </w:r>
            <w:r>
              <w:rPr>
                <w:rFonts w:ascii="Times New Roman" w:hAnsi="Times New Roman" w:cs="Times New Roman"/>
              </w:rPr>
              <w:t>en todas las etapas de los proyectos de obra pública</w:t>
            </w:r>
            <w:r w:rsidR="00EF77AC">
              <w:rPr>
                <w:rFonts w:ascii="Times New Roman" w:hAnsi="Times New Roman" w:cs="Times New Roman"/>
              </w:rPr>
              <w:t>.</w:t>
            </w:r>
          </w:p>
        </w:tc>
      </w:tr>
      <w:tr w:rsidR="00D1388C" w:rsidTr="00172939">
        <w:trPr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Inspección técnica/ social</w:t>
            </w:r>
          </w:p>
        </w:tc>
        <w:tc>
          <w:tcPr>
            <w:tcW w:w="382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388C">
              <w:rPr>
                <w:rFonts w:ascii="Times New Roman" w:hAnsi="Times New Roman" w:cs="Times New Roman"/>
                <w:lang w:val="es-SV"/>
              </w:rPr>
              <w:t xml:space="preserve">Son </w:t>
            </w:r>
            <w:r w:rsidR="00152392">
              <w:rPr>
                <w:rFonts w:ascii="Times New Roman" w:hAnsi="Times New Roman" w:cs="Times New Roman"/>
                <w:lang w:val="es-SV"/>
              </w:rPr>
              <w:t xml:space="preserve">visitas </w:t>
            </w:r>
            <w:r w:rsidRPr="00D1388C">
              <w:rPr>
                <w:rFonts w:ascii="Times New Roman" w:hAnsi="Times New Roman" w:cs="Times New Roman"/>
                <w:lang w:val="es-SV"/>
              </w:rPr>
              <w:t>realizadas por personal idóneo</w:t>
            </w:r>
            <w:r w:rsidR="00152392">
              <w:rPr>
                <w:rFonts w:ascii="Times New Roman" w:hAnsi="Times New Roman" w:cs="Times New Roman"/>
                <w:lang w:val="es-SV"/>
              </w:rPr>
              <w:t xml:space="preserve"> según el caso; </w:t>
            </w:r>
            <w:r w:rsidRPr="00D1388C">
              <w:rPr>
                <w:rFonts w:ascii="Times New Roman" w:hAnsi="Times New Roman" w:cs="Times New Roman"/>
                <w:lang w:val="es-SV"/>
              </w:rPr>
              <w:t>en coordinación con los solicitantes de la comunidad o gobierno local, a fin de identificar</w:t>
            </w:r>
            <w:r w:rsidR="00152392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D1388C">
              <w:rPr>
                <w:rFonts w:ascii="Times New Roman" w:hAnsi="Times New Roman" w:cs="Times New Roman"/>
                <w:lang w:val="es-SV"/>
              </w:rPr>
              <w:t>mejor el problema y plantear posibles alternativas de</w:t>
            </w:r>
            <w:r w:rsidR="00152392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D1388C">
              <w:rPr>
                <w:rFonts w:ascii="Times New Roman" w:hAnsi="Times New Roman" w:cs="Times New Roman"/>
                <w:lang w:val="es-SV"/>
              </w:rPr>
              <w:t>corto y mediano plazo. Medidas de intervención que son socializadas en momento posterior a la visita con las y los solicitantes.</w:t>
            </w:r>
          </w:p>
        </w:tc>
        <w:tc>
          <w:tcPr>
            <w:tcW w:w="297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Identificar en campo la dimensión de los problemas planteados por las comunidades así como también las potencialidades de las obras en gestión a fin de buscar una solución apegada </w:t>
            </w:r>
            <w:r w:rsidR="00152392">
              <w:rPr>
                <w:rFonts w:ascii="Times New Roman" w:hAnsi="Times New Roman" w:cs="Times New Roman"/>
              </w:rPr>
              <w:t>con l</w:t>
            </w:r>
            <w:r>
              <w:rPr>
                <w:rFonts w:ascii="Times New Roman" w:hAnsi="Times New Roman" w:cs="Times New Roman"/>
              </w:rPr>
              <w:t>a competencia institucional, disposición de recursos técnicos y financieros.</w:t>
            </w:r>
          </w:p>
        </w:tc>
      </w:tr>
      <w:tr w:rsidR="00D1388C" w:rsidTr="0017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Mesas técnicas interinstitucionales y ciudadanas</w:t>
            </w:r>
          </w:p>
        </w:tc>
        <w:tc>
          <w:tcPr>
            <w:tcW w:w="382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388C">
              <w:rPr>
                <w:rFonts w:ascii="Times New Roman" w:hAnsi="Times New Roman" w:cs="Times New Roman"/>
                <w:lang w:val="es-SV"/>
              </w:rPr>
              <w:t xml:space="preserve">Es un </w:t>
            </w:r>
            <w:r w:rsidR="00152392">
              <w:rPr>
                <w:rFonts w:ascii="Times New Roman" w:hAnsi="Times New Roman" w:cs="Times New Roman"/>
                <w:lang w:val="es-SV"/>
              </w:rPr>
              <w:t xml:space="preserve">espacio </w:t>
            </w:r>
            <w:r w:rsidRPr="00D1388C">
              <w:rPr>
                <w:rFonts w:ascii="Times New Roman" w:hAnsi="Times New Roman" w:cs="Times New Roman"/>
                <w:lang w:val="es-SV"/>
              </w:rPr>
              <w:t>que se instala cuando un proyecto  debido a su magnitud o condiciones especiales requiere del consenso de diferentes actores, instituciones de gobierno, o de las mismas dependencias del MOPTVDU para definir posibles soluciones desde cada instancia o institución, con enfoque de mediano y largo plazo. Esta incentiva la contraloría social.</w:t>
            </w:r>
          </w:p>
        </w:tc>
        <w:tc>
          <w:tcPr>
            <w:tcW w:w="297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Organizar un espacio común y articulado con todos los actores locales y nacionales que puedan aportar a la solución de los problemas que las comunidades y gobiernos municipales demanden.</w:t>
            </w:r>
          </w:p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Optimizar los recursos existentes.</w:t>
            </w:r>
          </w:p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Desarrollar un proceso educativo y de gestión de los problemas.</w:t>
            </w:r>
          </w:p>
        </w:tc>
      </w:tr>
      <w:tr w:rsidR="00D1388C" w:rsidTr="00172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388C">
              <w:rPr>
                <w:rFonts w:ascii="Times New Roman" w:hAnsi="Times New Roman" w:cs="Times New Roman"/>
                <w:b/>
                <w:bCs/>
              </w:rPr>
              <w:t>Comités pro obra pública</w:t>
            </w:r>
          </w:p>
        </w:tc>
        <w:tc>
          <w:tcPr>
            <w:tcW w:w="3827" w:type="dxa"/>
          </w:tcPr>
          <w:p w:rsidR="00D1388C" w:rsidRPr="00D1388C" w:rsidRDefault="0081546A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SV"/>
              </w:rPr>
            </w:pPr>
            <w:r>
              <w:rPr>
                <w:rFonts w:ascii="Times New Roman" w:hAnsi="Times New Roman" w:cs="Times New Roman"/>
              </w:rPr>
              <w:t xml:space="preserve">Es un grupo de 4 a 6 personas </w:t>
            </w:r>
            <w:r w:rsidR="00D1388C" w:rsidRPr="00D1388C">
              <w:rPr>
                <w:rFonts w:ascii="Times New Roman" w:hAnsi="Times New Roman" w:cs="Times New Roman"/>
              </w:rPr>
              <w:t xml:space="preserve">que se designen en una comunidad, </w:t>
            </w:r>
            <w:r>
              <w:rPr>
                <w:rFonts w:ascii="Times New Roman" w:hAnsi="Times New Roman" w:cs="Times New Roman"/>
              </w:rPr>
              <w:t>(</w:t>
            </w:r>
            <w:r w:rsidR="00D1388C" w:rsidRPr="00D1388C">
              <w:rPr>
                <w:rFonts w:ascii="Times New Roman" w:hAnsi="Times New Roman" w:cs="Times New Roman"/>
              </w:rPr>
              <w:t>pueden ser de la Junta Directiva o referentes de la zona</w:t>
            </w:r>
            <w:r>
              <w:rPr>
                <w:rFonts w:ascii="Times New Roman" w:hAnsi="Times New Roman" w:cs="Times New Roman"/>
              </w:rPr>
              <w:t>)</w:t>
            </w:r>
            <w:r w:rsidR="00D1388C" w:rsidRPr="00D1388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Para ejercer f</w:t>
            </w:r>
            <w:r w:rsidR="00D1388C" w:rsidRPr="00D1388C">
              <w:rPr>
                <w:rFonts w:ascii="Times New Roman" w:hAnsi="Times New Roman" w:cs="Times New Roman"/>
              </w:rPr>
              <w:t>unciones antes, durante y después de la ejecución de una obra pública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D1388C" w:rsidRDefault="0081546A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Organizar la cooperación de la comunidad y otros actores locales alrededor del proyecto, para que se realicen </w:t>
            </w:r>
            <w:r w:rsidR="00071EA9">
              <w:rPr>
                <w:rFonts w:ascii="Times New Roman" w:hAnsi="Times New Roman" w:cs="Times New Roman"/>
              </w:rPr>
              <w:t xml:space="preserve">durante la ejecución </w:t>
            </w:r>
            <w:r>
              <w:rPr>
                <w:rFonts w:ascii="Times New Roman" w:hAnsi="Times New Roman" w:cs="Times New Roman"/>
              </w:rPr>
              <w:t>4 funciones</w:t>
            </w:r>
            <w:r w:rsidR="00071EA9">
              <w:rPr>
                <w:rFonts w:ascii="Times New Roman" w:hAnsi="Times New Roman" w:cs="Times New Roman"/>
              </w:rPr>
              <w:t xml:space="preserve"> básicas</w:t>
            </w:r>
            <w:r>
              <w:rPr>
                <w:rFonts w:ascii="Times New Roman" w:hAnsi="Times New Roman" w:cs="Times New Roman"/>
              </w:rPr>
              <w:t>: Contraloría, Logística, Comunicaciones y Seguridad</w:t>
            </w:r>
            <w:r w:rsidR="00071EA9">
              <w:rPr>
                <w:rFonts w:ascii="Times New Roman" w:hAnsi="Times New Roman" w:cs="Times New Roman"/>
              </w:rPr>
              <w:t>. Y luego de finalizada la obra asumen además la responsabilidad de dar el mantenimiento requerido por la obra.</w:t>
            </w:r>
          </w:p>
        </w:tc>
      </w:tr>
      <w:tr w:rsidR="00D1388C" w:rsidTr="0017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Atención personalizada en la oficina / territorio</w:t>
            </w:r>
          </w:p>
        </w:tc>
        <w:tc>
          <w:tcPr>
            <w:tcW w:w="3827" w:type="dxa"/>
          </w:tcPr>
          <w:p w:rsidR="00D1388C" w:rsidRDefault="00071EA9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SV"/>
              </w:rPr>
              <w:t xml:space="preserve">Es la acción de </w:t>
            </w:r>
            <w:r w:rsidR="00BF4690" w:rsidRPr="00D1388C">
              <w:rPr>
                <w:rFonts w:ascii="Times New Roman" w:hAnsi="Times New Roman" w:cs="Times New Roman"/>
                <w:lang w:val="es-SV"/>
              </w:rPr>
              <w:t>recibir y atender de manera personalizada a la</w:t>
            </w:r>
            <w:r w:rsidR="00BF4690">
              <w:rPr>
                <w:rFonts w:ascii="Times New Roman" w:hAnsi="Times New Roman" w:cs="Times New Roman"/>
                <w:lang w:val="es-SV"/>
              </w:rPr>
              <w:t xml:space="preserve"> ciudadanía en general, con una actitud de calidad y calidez ya sea en las instalaciones del MOPTVDYU, o en el territorio.</w:t>
            </w:r>
          </w:p>
        </w:tc>
        <w:tc>
          <w:tcPr>
            <w:tcW w:w="2977" w:type="dxa"/>
          </w:tcPr>
          <w:p w:rsidR="00D1388C" w:rsidRDefault="00BF4690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Conocer de inmediato las demandas de la ciudadanía, para orientar y generar confianza en los procedimientos que el Ministerio ejecuta en correspondencia con el caso que se demande.</w:t>
            </w:r>
          </w:p>
        </w:tc>
      </w:tr>
      <w:tr w:rsidR="00D1388C" w:rsidTr="00172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Rendiciones de cuentas</w:t>
            </w:r>
          </w:p>
        </w:tc>
        <w:tc>
          <w:tcPr>
            <w:tcW w:w="3827" w:type="dxa"/>
          </w:tcPr>
          <w:p w:rsidR="00D1388C" w:rsidRDefault="00BB780A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 el acto de facilitar la información sobre la ejecución de proyectos a nivel de lo local, regional o nacional. En lo local se realiza cuando hay  un avance del 50% de la obra y cuando se entrega la obra. </w:t>
            </w:r>
            <w:r w:rsidR="00D1388C" w:rsidRPr="00D1388C">
              <w:rPr>
                <w:rFonts w:ascii="Times New Roman" w:hAnsi="Times New Roman" w:cs="Times New Roman"/>
              </w:rPr>
              <w:t xml:space="preserve">A nivel nacional, anualmente el MOPTVDU, realiza el Foro de Rendición de Cuentas general, dando a </w:t>
            </w:r>
            <w:r w:rsidR="00D1388C" w:rsidRPr="00D1388C">
              <w:rPr>
                <w:rFonts w:ascii="Times New Roman" w:hAnsi="Times New Roman" w:cs="Times New Roman"/>
              </w:rPr>
              <w:lastRenderedPageBreak/>
              <w:t>conocer a la opinión pública, la inversión en los proyectos de nación, la gestión pública, los avances, las oportunidades de mejora y las proyecciones, con el fin de transparentar el proceso de la gestión pública. En el foro, la ciudadanía, gobiernos locales e instituciones tienen 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388C" w:rsidRPr="00D1388C">
              <w:rPr>
                <w:rFonts w:ascii="Times New Roman" w:hAnsi="Times New Roman" w:cs="Times New Roman"/>
              </w:rPr>
              <w:t>oportunidad de brindar sus opiniones, hacer preguntas 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388C" w:rsidRPr="00D1388C">
              <w:rPr>
                <w:rFonts w:ascii="Times New Roman" w:hAnsi="Times New Roman" w:cs="Times New Roman"/>
              </w:rPr>
              <w:t>dar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388C" w:rsidRPr="00D1388C">
              <w:rPr>
                <w:rFonts w:ascii="Times New Roman" w:hAnsi="Times New Roman" w:cs="Times New Roman"/>
              </w:rPr>
              <w:t>aportes al informe presentado.</w:t>
            </w:r>
            <w:r>
              <w:rPr>
                <w:rFonts w:ascii="Times New Roman" w:hAnsi="Times New Roman" w:cs="Times New Roman"/>
              </w:rPr>
              <w:t xml:space="preserve"> En el transcurso del año se hacen rendiciones de cuentas al inicio del año o en eventos específicos </w:t>
            </w:r>
            <w:r w:rsidR="00C00FAD">
              <w:rPr>
                <w:rFonts w:ascii="Times New Roman" w:hAnsi="Times New Roman" w:cs="Times New Roman"/>
              </w:rPr>
              <w:t xml:space="preserve">de </w:t>
            </w:r>
            <w:r w:rsidR="00963E32">
              <w:rPr>
                <w:rFonts w:ascii="Times New Roman" w:hAnsi="Times New Roman" w:cs="Times New Roman"/>
              </w:rPr>
              <w:t>p</w:t>
            </w:r>
            <w:r w:rsidR="00C00FAD">
              <w:rPr>
                <w:rFonts w:ascii="Times New Roman" w:hAnsi="Times New Roman" w:cs="Times New Roman"/>
              </w:rPr>
              <w:t xml:space="preserve">articipación </w:t>
            </w:r>
            <w:r w:rsidR="00963E32">
              <w:rPr>
                <w:rFonts w:ascii="Times New Roman" w:hAnsi="Times New Roman" w:cs="Times New Roman"/>
              </w:rPr>
              <w:t>c</w:t>
            </w:r>
            <w:r w:rsidR="00C00FAD">
              <w:rPr>
                <w:rFonts w:ascii="Times New Roman" w:hAnsi="Times New Roman" w:cs="Times New Roman"/>
              </w:rPr>
              <w:t>iudadana en los que se participa</w:t>
            </w:r>
            <w:r w:rsidR="00963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Rendir cuentas a la ciudadanía de los procesos, obras, inversión, proyecciones a fin de trasparentar el servicio público y propiciar dialogo abierto y de evaluación de los resultados de la gestión por parte de la población.</w:t>
            </w:r>
          </w:p>
        </w:tc>
      </w:tr>
    </w:tbl>
    <w:p w:rsidR="007038B3" w:rsidRDefault="007038B3" w:rsidP="007038B3">
      <w:pPr>
        <w:jc w:val="left"/>
        <w:rPr>
          <w:rFonts w:ascii="Times New Roman" w:hAnsi="Times New Roman" w:cs="Times New Roman"/>
        </w:rPr>
      </w:pPr>
    </w:p>
    <w:p w:rsidR="00D1388C" w:rsidRPr="00622FCE" w:rsidRDefault="004F1AEC" w:rsidP="00DA738A">
      <w:pPr>
        <w:jc w:val="both"/>
        <w:rPr>
          <w:rFonts w:ascii="Times New Roman" w:hAnsi="Times New Roman" w:cs="Times New Roman"/>
          <w:b/>
        </w:rPr>
      </w:pPr>
      <w:r w:rsidRPr="00622FCE">
        <w:rPr>
          <w:rFonts w:ascii="Times New Roman" w:hAnsi="Times New Roman" w:cs="Times New Roman"/>
          <w:b/>
        </w:rPr>
        <w:t>Requisitos para participar de los espacios de participación ciudadana</w:t>
      </w:r>
    </w:p>
    <w:p w:rsidR="00F65198" w:rsidRDefault="00E533FB" w:rsidP="004F1A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único espacio que requiere un requisito previo es </w:t>
      </w:r>
      <w:r w:rsidR="004F1AEC">
        <w:rPr>
          <w:rFonts w:ascii="Times New Roman" w:hAnsi="Times New Roman" w:cs="Times New Roman"/>
        </w:rPr>
        <w:t>Audiencias con Titulares</w:t>
      </w:r>
      <w:r>
        <w:rPr>
          <w:rFonts w:ascii="Times New Roman" w:hAnsi="Times New Roman" w:cs="Times New Roman"/>
        </w:rPr>
        <w:t xml:space="preserve">. Ya que se </w:t>
      </w:r>
      <w:r w:rsidR="004F1AEC">
        <w:rPr>
          <w:rFonts w:ascii="Times New Roman" w:hAnsi="Times New Roman" w:cs="Times New Roman"/>
        </w:rPr>
        <w:t>tiene que pedir con antelación la cita con el titular</w:t>
      </w:r>
      <w:r w:rsidR="00F65198">
        <w:rPr>
          <w:rFonts w:ascii="Times New Roman" w:hAnsi="Times New Roman" w:cs="Times New Roman"/>
        </w:rPr>
        <w:t xml:space="preserve">, para que sea programada según la disponibilidad de espacio en calendario de atención. </w:t>
      </w:r>
    </w:p>
    <w:p w:rsidR="004F1AEC" w:rsidRDefault="004F1AEC" w:rsidP="004F1A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los otros espacios</w:t>
      </w:r>
      <w:r w:rsidR="00F65198">
        <w:rPr>
          <w:rFonts w:ascii="Times New Roman" w:hAnsi="Times New Roman" w:cs="Times New Roman"/>
        </w:rPr>
        <w:t xml:space="preserve"> y mecanismos </w:t>
      </w:r>
      <w:r>
        <w:rPr>
          <w:rFonts w:ascii="Times New Roman" w:hAnsi="Times New Roman" w:cs="Times New Roman"/>
        </w:rPr>
        <w:t xml:space="preserve">no hay requisitos </w:t>
      </w:r>
      <w:r w:rsidR="00F65198">
        <w:rPr>
          <w:rFonts w:ascii="Times New Roman" w:hAnsi="Times New Roman" w:cs="Times New Roman"/>
        </w:rPr>
        <w:t xml:space="preserve">específicos </w:t>
      </w:r>
      <w:r>
        <w:rPr>
          <w:rFonts w:ascii="Times New Roman" w:hAnsi="Times New Roman" w:cs="Times New Roman"/>
        </w:rPr>
        <w:t xml:space="preserve">a cumplir para poder participar </w:t>
      </w:r>
      <w:r w:rsidR="00F65198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ellos, puede participar la población en general (organizada en ADESCOS, comité de vecinal, personas en su carácter individual, Gobiernos Municipales, ONG´S, cooperativas </w:t>
      </w:r>
      <w:proofErr w:type="gramStart"/>
      <w:r>
        <w:rPr>
          <w:rFonts w:ascii="Times New Roman" w:hAnsi="Times New Roman" w:cs="Times New Roman"/>
        </w:rPr>
        <w:t>etc..</w:t>
      </w:r>
      <w:proofErr w:type="gramEnd"/>
      <w:r>
        <w:rPr>
          <w:rFonts w:ascii="Times New Roman" w:hAnsi="Times New Roman" w:cs="Times New Roman"/>
        </w:rPr>
        <w:t xml:space="preserve">). </w:t>
      </w:r>
    </w:p>
    <w:p w:rsidR="00DA738A" w:rsidRDefault="00DA738A" w:rsidP="00DA738A">
      <w:pPr>
        <w:jc w:val="both"/>
      </w:pPr>
    </w:p>
    <w:p w:rsidR="00DA738A" w:rsidRDefault="00DA738A" w:rsidP="00DA738A">
      <w:pPr>
        <w:jc w:val="both"/>
      </w:pPr>
    </w:p>
    <w:p w:rsidR="00DA738A" w:rsidRDefault="00DA738A" w:rsidP="00DA738A">
      <w:pPr>
        <w:jc w:val="both"/>
      </w:pPr>
    </w:p>
    <w:sectPr w:rsidR="00DA738A" w:rsidSect="00D1388C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49" w:rsidRDefault="005B6A49">
      <w:pPr>
        <w:spacing w:after="0" w:line="240" w:lineRule="auto"/>
      </w:pPr>
      <w:r>
        <w:separator/>
      </w:r>
    </w:p>
  </w:endnote>
  <w:endnote w:type="continuationSeparator" w:id="0">
    <w:p w:rsidR="005B6A49" w:rsidRDefault="005B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83454"/>
      <w:docPartObj>
        <w:docPartGallery w:val="Page Numbers (Bottom of Page)"/>
        <w:docPartUnique/>
      </w:docPartObj>
    </w:sdtPr>
    <w:sdtEndPr/>
    <w:sdtContent>
      <w:p w:rsidR="003D535B" w:rsidRDefault="0017293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D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535B" w:rsidRDefault="005B6A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49" w:rsidRDefault="005B6A49">
      <w:pPr>
        <w:spacing w:after="0" w:line="240" w:lineRule="auto"/>
      </w:pPr>
      <w:r>
        <w:separator/>
      </w:r>
    </w:p>
  </w:footnote>
  <w:footnote w:type="continuationSeparator" w:id="0">
    <w:p w:rsidR="005B6A49" w:rsidRDefault="005B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7753F"/>
    <w:multiLevelType w:val="hybridMultilevel"/>
    <w:tmpl w:val="62F2613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3F5B9E"/>
    <w:multiLevelType w:val="hybridMultilevel"/>
    <w:tmpl w:val="0748D9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B3"/>
    <w:rsid w:val="000460DF"/>
    <w:rsid w:val="00071EA9"/>
    <w:rsid w:val="000D2B8E"/>
    <w:rsid w:val="00152392"/>
    <w:rsid w:val="00172939"/>
    <w:rsid w:val="00367D3F"/>
    <w:rsid w:val="004F1AEC"/>
    <w:rsid w:val="005B6A49"/>
    <w:rsid w:val="00622FCE"/>
    <w:rsid w:val="007038B3"/>
    <w:rsid w:val="007561A1"/>
    <w:rsid w:val="007C4E70"/>
    <w:rsid w:val="007D58B1"/>
    <w:rsid w:val="0081546A"/>
    <w:rsid w:val="00963E32"/>
    <w:rsid w:val="00A74777"/>
    <w:rsid w:val="00B87DA9"/>
    <w:rsid w:val="00BB780A"/>
    <w:rsid w:val="00BF41D3"/>
    <w:rsid w:val="00BF4690"/>
    <w:rsid w:val="00C00FAD"/>
    <w:rsid w:val="00D1388C"/>
    <w:rsid w:val="00D3413B"/>
    <w:rsid w:val="00DA738A"/>
    <w:rsid w:val="00E129A8"/>
    <w:rsid w:val="00E533FB"/>
    <w:rsid w:val="00EB78B7"/>
    <w:rsid w:val="00EF77AC"/>
    <w:rsid w:val="00F12FE0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8B3"/>
    <w:pPr>
      <w:spacing w:after="200" w:line="276" w:lineRule="auto"/>
      <w:jc w:val="center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03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B3"/>
    <w:rPr>
      <w:lang w:val="es-ES"/>
    </w:rPr>
  </w:style>
  <w:style w:type="table" w:styleId="Tablaconcuadrcula">
    <w:name w:val="Table Grid"/>
    <w:basedOn w:val="Tablanormal"/>
    <w:uiPriority w:val="59"/>
    <w:rsid w:val="007038B3"/>
    <w:pPr>
      <w:spacing w:after="0" w:line="240" w:lineRule="auto"/>
      <w:jc w:val="center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388C"/>
    <w:pPr>
      <w:ind w:left="720"/>
      <w:contextualSpacing/>
    </w:pPr>
  </w:style>
  <w:style w:type="table" w:customStyle="1" w:styleId="GridTable4Accent4">
    <w:name w:val="Grid Table 4 Accent 4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8B3"/>
    <w:pPr>
      <w:spacing w:after="200" w:line="276" w:lineRule="auto"/>
      <w:jc w:val="center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03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B3"/>
    <w:rPr>
      <w:lang w:val="es-ES"/>
    </w:rPr>
  </w:style>
  <w:style w:type="table" w:styleId="Tablaconcuadrcula">
    <w:name w:val="Table Grid"/>
    <w:basedOn w:val="Tablanormal"/>
    <w:uiPriority w:val="59"/>
    <w:rsid w:val="007038B3"/>
    <w:pPr>
      <w:spacing w:after="0" w:line="240" w:lineRule="auto"/>
      <w:jc w:val="center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388C"/>
    <w:pPr>
      <w:ind w:left="720"/>
      <w:contextualSpacing/>
    </w:pPr>
  </w:style>
  <w:style w:type="table" w:customStyle="1" w:styleId="GridTable4Accent4">
    <w:name w:val="Grid Table 4 Accent 4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AC62A-113F-4364-B50D-8073186A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Lourdes Parada Alfaro</dc:creator>
  <cp:lastModifiedBy>NACH</cp:lastModifiedBy>
  <cp:revision>2</cp:revision>
  <dcterms:created xsi:type="dcterms:W3CDTF">2018-07-26T19:46:00Z</dcterms:created>
  <dcterms:modified xsi:type="dcterms:W3CDTF">2018-07-26T19:46:00Z</dcterms:modified>
</cp:coreProperties>
</file>