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C27294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732C5A" w:rsidP="00732C5A">
            <w:pPr>
              <w:pStyle w:val="Prrafodelista"/>
              <w:ind w:left="0"/>
            </w:pPr>
            <w:r>
              <w:t xml:space="preserve">Anselmo </w:t>
            </w:r>
            <w:proofErr w:type="spellStart"/>
            <w:r>
              <w:t>Renderos</w:t>
            </w:r>
            <w:proofErr w:type="spellEnd"/>
            <w:r>
              <w:t xml:space="preserve"> Arévalo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732C5A" w:rsidRDefault="00732C5A" w:rsidP="00732C5A">
            <w:pPr>
              <w:pStyle w:val="Prrafodelista"/>
              <w:ind w:left="0"/>
            </w:pPr>
            <w:r w:rsidRPr="00732C5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Departamento de Planificación, Dirección General de Desarrollo de la Pesca y la Acuicultura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732C5A" w:rsidRDefault="00732C5A" w:rsidP="00732C5A">
            <w:pPr>
              <w:pStyle w:val="Prrafodelista"/>
              <w:ind w:left="0"/>
            </w:pPr>
            <w:r w:rsidRPr="00732C5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Final 1a. Avenida Norte, 13 Calle Oriente y Av. Manuel Gallardo. Santa Tecla, La Libertad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300361" w:rsidP="00732C5A">
            <w:pPr>
              <w:pStyle w:val="Prrafodelista"/>
              <w:ind w:left="0"/>
            </w:pPr>
            <w:hyperlink r:id="rId8" w:history="1">
              <w:r w:rsidR="00732C5A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anselmo.renderos@mag.gob.sv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732C5A" w:rsidRDefault="00732C5A" w:rsidP="00732C5A">
            <w:pPr>
              <w:pStyle w:val="Prrafodelista"/>
              <w:ind w:left="0"/>
            </w:pPr>
            <w:r w:rsidRPr="00732C5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2210-1905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732C5A" w:rsidRDefault="00732C5A" w:rsidP="00732C5A">
      <w:pPr>
        <w:spacing w:line="240" w:lineRule="auto"/>
        <w:rPr>
          <w:b/>
          <w:lang w:val="es-ES"/>
        </w:rPr>
      </w:pPr>
      <w:r w:rsidRPr="00732C5A">
        <w:rPr>
          <w:rFonts w:ascii="Arial" w:hAnsi="Arial" w:cs="Arial"/>
          <w:sz w:val="19"/>
          <w:szCs w:val="19"/>
          <w:shd w:val="clear" w:color="auto" w:fill="FEFEFE"/>
        </w:rPr>
        <w:t>Licenciatura en Economía, Universidad de El Salvador, Facultad de Ciencias Económicas.  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Jefe del Área de Programación del Departamento de Planificación. Dirección General de Recursos Naturales Renovables.  Ministerio de Agricultura y Ganadería- MAG. Desde marzo de 1974 a diciembre de 1974.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Economista agrícola del Proyecto Determinación del Uso Potencial del Suelo en El Salvador. Dirección General de Recursos Naturales Renovables. Ministerio de Agricultura y Ganadería- MAG. Desde enero de 1975 a enero de 1983.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Jefe del Departamento de Planificación del Centro de   Desarrollo  Pesquero (CENDEPESCA). Ministerio de Agricultura y Ganadería- MAG.  Desde febrero de 1983 a febrero de 1985.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Asistente Ejecutivo de la Oficina Coordinadora de Proyectos MAG / AID.                             Ministerio de Agricultura y Ganadería- MAG.  Desde marzo de 1985 hasta febrero de 1995.                             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  Jefe de la División de Cooperación Externa e Inversión Sectorial, de la Oficina Sectorial de Planificación Agropecuaria (OSPA). Ministerio de Agricultura y Ganadería- MAG. Desde marzo de 1995 hasta septiembre de 1997.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 Jefe del Departamento de Planificación de la Dirección General de Desarrollo      de     la Pesca y la Acuicultura (CENDEPESCA). Desde octubre de 1997 a la fecha.</w:t>
      </w: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61" w:rsidRDefault="00300361" w:rsidP="00BB2620">
      <w:pPr>
        <w:spacing w:after="0" w:line="240" w:lineRule="auto"/>
      </w:pPr>
      <w:r>
        <w:separator/>
      </w:r>
    </w:p>
  </w:endnote>
  <w:endnote w:type="continuationSeparator" w:id="0">
    <w:p w:rsidR="00300361" w:rsidRDefault="00300361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27294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27294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61" w:rsidRDefault="00300361" w:rsidP="00BB2620">
      <w:pPr>
        <w:spacing w:after="0" w:line="240" w:lineRule="auto"/>
      </w:pPr>
      <w:r>
        <w:separator/>
      </w:r>
    </w:p>
  </w:footnote>
  <w:footnote w:type="continuationSeparator" w:id="0">
    <w:p w:rsidR="00300361" w:rsidRDefault="00300361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D247F"/>
    <w:rsid w:val="002F1DEB"/>
    <w:rsid w:val="00300361"/>
    <w:rsid w:val="0038050F"/>
    <w:rsid w:val="003C5DAB"/>
    <w:rsid w:val="004059AC"/>
    <w:rsid w:val="004837DB"/>
    <w:rsid w:val="0049005D"/>
    <w:rsid w:val="004F4D47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32C5A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B2620"/>
    <w:rsid w:val="00C027D2"/>
    <w:rsid w:val="00C27294"/>
    <w:rsid w:val="00C3587C"/>
    <w:rsid w:val="00D27ABB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32C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32C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elmo.renderos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2019-05-15T22:12:00Z</dcterms:created>
  <dcterms:modified xsi:type="dcterms:W3CDTF">2019-05-15T22:12:00Z</dcterms:modified>
</cp:coreProperties>
</file>