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CB9" w:rsidRPr="00EB3E98" w:rsidRDefault="00A47972" w:rsidP="00EB3E98">
      <w:pPr>
        <w:pStyle w:val="Ttulo"/>
        <w:rPr>
          <w:rStyle w:val="nfasissutil"/>
          <w:i w:val="0"/>
          <w:color w:val="4F6228" w:themeColor="accent3" w:themeShade="80"/>
        </w:rPr>
      </w:pPr>
      <w:r>
        <w:rPr>
          <w:rStyle w:val="nfasissutil"/>
          <w:i w:val="0"/>
          <w:color w:val="4F6228" w:themeColor="accent3" w:themeShade="80"/>
        </w:rPr>
        <w:t>MANUEL FERMÍ</w:t>
      </w:r>
      <w:r w:rsidR="00E53A6C" w:rsidRPr="00EB3E98">
        <w:rPr>
          <w:rStyle w:val="nfasissutil"/>
          <w:i w:val="0"/>
          <w:color w:val="4F6228" w:themeColor="accent3" w:themeShade="80"/>
        </w:rPr>
        <w:t>N OLIVA</w:t>
      </w:r>
      <w:bookmarkStart w:id="0" w:name="_GoBack"/>
      <w:bookmarkEnd w:id="0"/>
      <w:r w:rsidR="00E53A6C" w:rsidRPr="00EB3E98">
        <w:rPr>
          <w:rStyle w:val="nfasissutil"/>
          <w:i w:val="0"/>
          <w:color w:val="4F6228" w:themeColor="accent3" w:themeShade="80"/>
        </w:rPr>
        <w:t xml:space="preserve"> QUEZADA</w:t>
      </w:r>
    </w:p>
    <w:p w:rsidR="00E53A6C" w:rsidRDefault="00E53A6C" w:rsidP="00EB3E98">
      <w:pPr>
        <w:jc w:val="right"/>
        <w:rPr>
          <w:rFonts w:eastAsiaTheme="minorEastAsia"/>
          <w:b/>
          <w:lang w:val="es-ES" w:eastAsia="es-SV"/>
        </w:rPr>
      </w:pPr>
      <w:r w:rsidRPr="00EB3E98">
        <w:rPr>
          <w:rFonts w:eastAsiaTheme="minorEastAsia"/>
          <w:b/>
          <w:lang w:val="es-ES" w:eastAsia="es-SV"/>
        </w:rPr>
        <w:t>Director General de Desarrollo Rural DGDR</w:t>
      </w:r>
    </w:p>
    <w:p w:rsidR="00BF17BF" w:rsidRDefault="00BF17BF" w:rsidP="00EB3E98">
      <w:pPr>
        <w:jc w:val="right"/>
        <w:rPr>
          <w:rFonts w:eastAsia="Times New Roman"/>
          <w:b/>
          <w:bCs/>
          <w:color w:val="000000"/>
          <w:sz w:val="20"/>
          <w:szCs w:val="20"/>
          <w:lang w:eastAsia="es-SV"/>
        </w:rPr>
      </w:pPr>
      <w:hyperlink r:id="rId5" w:history="1">
        <w:r>
          <w:rPr>
            <w:rStyle w:val="Hipervnculo"/>
            <w:rFonts w:eastAsiaTheme="minorEastAsia"/>
            <w:b/>
            <w:lang w:val="es-ES" w:eastAsia="es-SV"/>
          </w:rPr>
          <w:t>m</w:t>
        </w:r>
        <w:r w:rsidRPr="002F4694">
          <w:rPr>
            <w:rStyle w:val="Hipervnculo"/>
            <w:rFonts w:eastAsiaTheme="minorEastAsia"/>
            <w:b/>
            <w:lang w:val="es-ES" w:eastAsia="es-SV"/>
          </w:rPr>
          <w:t>anuel.oliva@mag.gob.sv</w:t>
        </w:r>
      </w:hyperlink>
      <w:r>
        <w:rPr>
          <w:rFonts w:eastAsiaTheme="minorEastAsia"/>
          <w:b/>
          <w:lang w:val="es-ES" w:eastAsia="es-SV"/>
        </w:rPr>
        <w:t xml:space="preserve"> </w:t>
      </w:r>
    </w:p>
    <w:p w:rsidR="00E53A6C" w:rsidRPr="00E81A24" w:rsidRDefault="00E53A6C">
      <w:pPr>
        <w:rPr>
          <w:rFonts w:eastAsia="Times New Roman"/>
          <w:b/>
          <w:bCs/>
          <w:color w:val="000000"/>
          <w:szCs w:val="20"/>
          <w:lang w:eastAsia="es-SV"/>
        </w:rPr>
      </w:pPr>
      <w:r w:rsidRPr="00E81A24">
        <w:rPr>
          <w:rFonts w:eastAsia="Times New Roman"/>
          <w:b/>
          <w:bCs/>
          <w:color w:val="000000"/>
          <w:szCs w:val="20"/>
          <w:lang w:eastAsia="es-SV"/>
        </w:rPr>
        <w:t>FORMACIÓN ACADÉMICA</w:t>
      </w:r>
    </w:p>
    <w:p w:rsidR="00130C0D" w:rsidRDefault="00E53A6C" w:rsidP="00E53A6C">
      <w:pPr>
        <w:spacing w:after="0" w:line="240" w:lineRule="auto"/>
        <w:jc w:val="both"/>
        <w:rPr>
          <w:szCs w:val="20"/>
        </w:rPr>
      </w:pPr>
      <w:r w:rsidRPr="00E81A24">
        <w:rPr>
          <w:rFonts w:eastAsia="Times New Roman"/>
          <w:bCs/>
          <w:color w:val="000000"/>
          <w:szCs w:val="20"/>
          <w:lang w:eastAsia="es-SV"/>
        </w:rPr>
        <w:t xml:space="preserve">Ingeniero </w:t>
      </w:r>
      <w:r w:rsidRPr="00E81A24">
        <w:rPr>
          <w:szCs w:val="20"/>
        </w:rPr>
        <w:t>Agrónomo Administrador</w:t>
      </w:r>
      <w:r w:rsidR="00130C0D">
        <w:rPr>
          <w:szCs w:val="20"/>
        </w:rPr>
        <w:t xml:space="preserve"> </w:t>
      </w:r>
      <w:r w:rsidR="00130C0D">
        <w:rPr>
          <w:rFonts w:eastAsia="Times New Roman"/>
          <w:bCs/>
          <w:color w:val="000000"/>
          <w:szCs w:val="20"/>
          <w:lang w:eastAsia="es-SV"/>
        </w:rPr>
        <w:t>graduado del</w:t>
      </w:r>
      <w:r w:rsidRPr="00E81A24">
        <w:rPr>
          <w:rFonts w:eastAsia="Times New Roman"/>
          <w:bCs/>
          <w:color w:val="000000"/>
          <w:szCs w:val="20"/>
          <w:lang w:eastAsia="es-SV"/>
        </w:rPr>
        <w:t xml:space="preserve"> </w:t>
      </w:r>
      <w:r w:rsidRPr="00E81A24">
        <w:rPr>
          <w:szCs w:val="20"/>
        </w:rPr>
        <w:t xml:space="preserve">Instituto Tecnológico y de Estudios </w:t>
      </w:r>
      <w:r w:rsidR="00130C0D">
        <w:rPr>
          <w:szCs w:val="20"/>
        </w:rPr>
        <w:t>Superiores de Monterrey, México; Bachillerato graduado del Colegio Externado San José y Primaria en el Colegio García Flamenco.</w:t>
      </w:r>
    </w:p>
    <w:p w:rsidR="00130C0D" w:rsidRDefault="00130C0D" w:rsidP="00E53A6C">
      <w:pPr>
        <w:spacing w:after="0" w:line="240" w:lineRule="auto"/>
        <w:jc w:val="both"/>
        <w:rPr>
          <w:szCs w:val="20"/>
        </w:rPr>
      </w:pPr>
    </w:p>
    <w:p w:rsidR="00130C0D" w:rsidRDefault="00130C0D" w:rsidP="00E53A6C">
      <w:pPr>
        <w:spacing w:after="0" w:line="240" w:lineRule="auto"/>
        <w:jc w:val="both"/>
        <w:rPr>
          <w:rFonts w:eastAsia="Times New Roman"/>
          <w:b/>
          <w:bCs/>
          <w:color w:val="000000"/>
          <w:szCs w:val="20"/>
          <w:lang w:eastAsia="es-SV"/>
        </w:rPr>
      </w:pPr>
      <w:r w:rsidRPr="00E81A24">
        <w:rPr>
          <w:rFonts w:eastAsia="Times New Roman"/>
          <w:b/>
          <w:bCs/>
          <w:color w:val="000000"/>
          <w:szCs w:val="20"/>
          <w:lang w:eastAsia="es-SV"/>
        </w:rPr>
        <w:t>FORMACIÓN</w:t>
      </w:r>
      <w:r>
        <w:rPr>
          <w:rFonts w:eastAsia="Times New Roman"/>
          <w:b/>
          <w:bCs/>
          <w:color w:val="000000"/>
          <w:szCs w:val="20"/>
          <w:lang w:eastAsia="es-SV"/>
        </w:rPr>
        <w:t xml:space="preserve"> COMPLEMENTARIA</w:t>
      </w:r>
    </w:p>
    <w:p w:rsidR="00130C0D" w:rsidRDefault="00130C0D" w:rsidP="00E53A6C">
      <w:pPr>
        <w:spacing w:after="0" w:line="240" w:lineRule="auto"/>
        <w:jc w:val="both"/>
        <w:rPr>
          <w:szCs w:val="20"/>
        </w:rPr>
      </w:pPr>
    </w:p>
    <w:p w:rsidR="006D39DF" w:rsidRDefault="00E53A6C" w:rsidP="00720F52">
      <w:pPr>
        <w:spacing w:after="0" w:line="240" w:lineRule="auto"/>
        <w:jc w:val="both"/>
        <w:rPr>
          <w:szCs w:val="20"/>
        </w:rPr>
      </w:pPr>
      <w:r w:rsidRPr="00E81A24">
        <w:rPr>
          <w:szCs w:val="20"/>
        </w:rPr>
        <w:t>Curso completo de Inglés</w:t>
      </w:r>
      <w:r w:rsidRPr="00E81A24">
        <w:rPr>
          <w:rFonts w:eastAsia="Times New Roman"/>
          <w:bCs/>
          <w:color w:val="000000"/>
          <w:szCs w:val="20"/>
          <w:lang w:eastAsia="es-SV"/>
        </w:rPr>
        <w:t xml:space="preserve">, </w:t>
      </w:r>
      <w:r w:rsidRPr="00E81A24">
        <w:rPr>
          <w:szCs w:val="20"/>
        </w:rPr>
        <w:t xml:space="preserve">Cursos sobre Word, Excel y </w:t>
      </w:r>
      <w:proofErr w:type="spellStart"/>
      <w:r w:rsidRPr="00E81A24">
        <w:rPr>
          <w:szCs w:val="20"/>
        </w:rPr>
        <w:t>Power</w:t>
      </w:r>
      <w:proofErr w:type="spellEnd"/>
      <w:r w:rsidRPr="00E81A24">
        <w:rPr>
          <w:szCs w:val="20"/>
        </w:rPr>
        <w:t xml:space="preserve"> Point</w:t>
      </w:r>
      <w:r w:rsidRPr="00E81A24">
        <w:rPr>
          <w:rFonts w:eastAsia="Times New Roman"/>
          <w:bCs/>
          <w:color w:val="000000"/>
          <w:szCs w:val="20"/>
          <w:lang w:eastAsia="es-SV"/>
        </w:rPr>
        <w:t xml:space="preserve"> , </w:t>
      </w:r>
      <w:r w:rsidRPr="00E81A24">
        <w:rPr>
          <w:szCs w:val="20"/>
        </w:rPr>
        <w:t>Cursos sobre análisis de créditos y análisis de riesgos</w:t>
      </w:r>
      <w:r w:rsidRPr="00E81A24">
        <w:rPr>
          <w:rFonts w:eastAsia="Times New Roman"/>
          <w:bCs/>
          <w:color w:val="000000"/>
          <w:szCs w:val="20"/>
          <w:lang w:eastAsia="es-SV"/>
        </w:rPr>
        <w:t xml:space="preserve"> , </w:t>
      </w:r>
      <w:r w:rsidRPr="00E81A24">
        <w:rPr>
          <w:szCs w:val="20"/>
        </w:rPr>
        <w:t>Curso sobre valúo de propiedades urbanas y rurales, Curso sobre mecánica automotriz en motores gasolina y Diesel, Pasantías en Japón, España y Chile sobre el cultivo de   moluscos , Seminarios, conferencias, foros y cursos sobre legislación pesquera, acuicultura, pesca y administración de recursos pesqueros</w:t>
      </w:r>
      <w:r w:rsidRPr="00E81A24">
        <w:rPr>
          <w:rFonts w:eastAsia="Times New Roman"/>
          <w:bCs/>
          <w:color w:val="000000"/>
          <w:szCs w:val="20"/>
          <w:lang w:eastAsia="es-SV"/>
        </w:rPr>
        <w:t xml:space="preserve">, </w:t>
      </w:r>
      <w:r w:rsidRPr="00E81A24">
        <w:rPr>
          <w:szCs w:val="20"/>
        </w:rPr>
        <w:t xml:space="preserve"> Seminarios, conferencias, foros y cursos sobre Desarrollo Rural </w:t>
      </w:r>
      <w:r w:rsidR="00130C0D">
        <w:rPr>
          <w:szCs w:val="20"/>
        </w:rPr>
        <w:t xml:space="preserve">realizados </w:t>
      </w:r>
      <w:r w:rsidRPr="00E81A24">
        <w:rPr>
          <w:szCs w:val="20"/>
        </w:rPr>
        <w:t xml:space="preserve">en </w:t>
      </w:r>
      <w:r w:rsidRPr="00E81A24">
        <w:rPr>
          <w:rFonts w:eastAsia="Times New Roman"/>
          <w:bCs/>
          <w:color w:val="000000"/>
          <w:szCs w:val="20"/>
          <w:lang w:eastAsia="es-SV"/>
        </w:rPr>
        <w:t> </w:t>
      </w:r>
      <w:r w:rsidRPr="00E81A24">
        <w:rPr>
          <w:szCs w:val="20"/>
        </w:rPr>
        <w:t xml:space="preserve">Smith Miller </w:t>
      </w:r>
      <w:proofErr w:type="spellStart"/>
      <w:r w:rsidRPr="00E81A24">
        <w:rPr>
          <w:szCs w:val="20"/>
        </w:rPr>
        <w:t>Institute</w:t>
      </w:r>
      <w:proofErr w:type="spellEnd"/>
      <w:r w:rsidRPr="00E81A24">
        <w:rPr>
          <w:szCs w:val="20"/>
        </w:rPr>
        <w:t>, ABANSA e ITCA.</w:t>
      </w:r>
    </w:p>
    <w:p w:rsidR="00720F52" w:rsidRDefault="00720F52" w:rsidP="00720F52">
      <w:pPr>
        <w:spacing w:after="0" w:line="240" w:lineRule="auto"/>
        <w:jc w:val="both"/>
        <w:rPr>
          <w:rFonts w:eastAsia="Times New Roman"/>
          <w:b/>
          <w:bCs/>
          <w:color w:val="000000"/>
          <w:szCs w:val="20"/>
          <w:lang w:eastAsia="es-SV"/>
        </w:rPr>
      </w:pPr>
    </w:p>
    <w:p w:rsidR="00E53A6C" w:rsidRPr="00E81A24" w:rsidRDefault="00E53A6C">
      <w:pPr>
        <w:rPr>
          <w:rFonts w:eastAsia="Times New Roman"/>
          <w:b/>
          <w:bCs/>
          <w:color w:val="000000"/>
          <w:szCs w:val="20"/>
          <w:lang w:eastAsia="es-SV"/>
        </w:rPr>
      </w:pPr>
      <w:r w:rsidRPr="00E81A24">
        <w:rPr>
          <w:rFonts w:eastAsia="Times New Roman"/>
          <w:b/>
          <w:bCs/>
          <w:color w:val="000000"/>
          <w:szCs w:val="20"/>
          <w:lang w:eastAsia="es-SV"/>
        </w:rPr>
        <w:t>EXPERIENCIA</w:t>
      </w:r>
    </w:p>
    <w:p w:rsidR="00E53A6C" w:rsidRPr="00E81A24" w:rsidRDefault="00E53A6C" w:rsidP="00E81A24">
      <w:pPr>
        <w:jc w:val="both"/>
        <w:rPr>
          <w:b/>
          <w:szCs w:val="20"/>
        </w:rPr>
      </w:pPr>
      <w:r w:rsidRPr="00E81A24">
        <w:rPr>
          <w:b/>
          <w:szCs w:val="20"/>
        </w:rPr>
        <w:t>Ministeri</w:t>
      </w:r>
      <w:r w:rsidR="00130C0D">
        <w:rPr>
          <w:b/>
          <w:szCs w:val="20"/>
        </w:rPr>
        <w:t>o de Agricultura y Ganadería de</w:t>
      </w:r>
      <w:r w:rsidRPr="00E81A24">
        <w:rPr>
          <w:b/>
          <w:szCs w:val="20"/>
        </w:rPr>
        <w:t xml:space="preserve"> 07 de septiembre  de </w:t>
      </w:r>
      <w:smartTag w:uri="urn:schemas-microsoft-com:office:smarttags" w:element="metricconverter">
        <w:smartTagPr>
          <w:attr w:name="ProductID" w:val="2011 a"/>
        </w:smartTagPr>
        <w:r w:rsidRPr="00E81A24">
          <w:rPr>
            <w:b/>
            <w:szCs w:val="20"/>
          </w:rPr>
          <w:t>2011 a</w:t>
        </w:r>
      </w:smartTag>
      <w:r w:rsidRPr="00E81A24">
        <w:rPr>
          <w:b/>
          <w:szCs w:val="20"/>
        </w:rPr>
        <w:t xml:space="preserve"> la fecha, Director General de Desarrollo Rural DGDR.</w:t>
      </w:r>
    </w:p>
    <w:p w:rsidR="00E53A6C" w:rsidRPr="00E81A24" w:rsidRDefault="00E53A6C" w:rsidP="00E81A24">
      <w:pPr>
        <w:jc w:val="both"/>
        <w:rPr>
          <w:szCs w:val="20"/>
        </w:rPr>
      </w:pPr>
      <w:r w:rsidRPr="00E81A24">
        <w:rPr>
          <w:szCs w:val="20"/>
        </w:rPr>
        <w:t>Fomentar la participación activa de la familia rural en el desarrollo del sector agropecuario y su incorporación al desarrollo económico y social del país.</w:t>
      </w:r>
    </w:p>
    <w:p w:rsidR="00E53A6C" w:rsidRPr="00E81A24" w:rsidRDefault="00E53A6C" w:rsidP="00E81A24">
      <w:pPr>
        <w:jc w:val="both"/>
        <w:rPr>
          <w:b/>
          <w:szCs w:val="20"/>
        </w:rPr>
      </w:pPr>
      <w:r w:rsidRPr="00E81A24">
        <w:rPr>
          <w:b/>
          <w:szCs w:val="20"/>
        </w:rPr>
        <w:t xml:space="preserve">Ministerio de Agricultura y </w:t>
      </w:r>
      <w:r w:rsidR="00C462D2">
        <w:rPr>
          <w:b/>
          <w:szCs w:val="20"/>
        </w:rPr>
        <w:t>Ganadería de</w:t>
      </w:r>
      <w:r w:rsidRPr="00E81A24">
        <w:rPr>
          <w:b/>
          <w:szCs w:val="20"/>
        </w:rPr>
        <w:t xml:space="preserve"> 1º de octubre de 2010 hasta 2011, Director </w:t>
      </w:r>
      <w:proofErr w:type="spellStart"/>
      <w:r w:rsidRPr="00E81A24">
        <w:rPr>
          <w:b/>
          <w:szCs w:val="20"/>
        </w:rPr>
        <w:t>adhonorem</w:t>
      </w:r>
      <w:proofErr w:type="spellEnd"/>
      <w:r w:rsidRPr="00E81A24">
        <w:rPr>
          <w:b/>
          <w:szCs w:val="20"/>
        </w:rPr>
        <w:t>.</w:t>
      </w:r>
    </w:p>
    <w:p w:rsidR="00E53A6C" w:rsidRPr="00E81A24" w:rsidRDefault="00E53A6C" w:rsidP="00E81A24">
      <w:pPr>
        <w:jc w:val="both"/>
        <w:rPr>
          <w:szCs w:val="20"/>
        </w:rPr>
      </w:pPr>
      <w:r w:rsidRPr="00E81A24">
        <w:rPr>
          <w:szCs w:val="20"/>
        </w:rPr>
        <w:t>Programa de Reconstrucción y Modernización Rural (PREMODER).</w:t>
      </w:r>
    </w:p>
    <w:p w:rsidR="00E53A6C" w:rsidRPr="00E81A24" w:rsidRDefault="00E53A6C" w:rsidP="00E81A24">
      <w:pPr>
        <w:jc w:val="both"/>
        <w:rPr>
          <w:b/>
          <w:szCs w:val="20"/>
        </w:rPr>
      </w:pPr>
      <w:r w:rsidRPr="00E81A24">
        <w:rPr>
          <w:b/>
          <w:szCs w:val="20"/>
        </w:rPr>
        <w:t>Minist</w:t>
      </w:r>
      <w:r w:rsidR="00C462D2">
        <w:rPr>
          <w:b/>
          <w:szCs w:val="20"/>
        </w:rPr>
        <w:t>erio de Agricultura y Ganadería de</w:t>
      </w:r>
      <w:r w:rsidRPr="00E81A24">
        <w:rPr>
          <w:b/>
          <w:szCs w:val="20"/>
        </w:rPr>
        <w:t xml:space="preserve"> 28 de octubre de 2010 hasta el 2011, Director Ejecutivo.</w:t>
      </w:r>
    </w:p>
    <w:p w:rsidR="00E53A6C" w:rsidRPr="00E81A24" w:rsidRDefault="00E53A6C" w:rsidP="00E81A24">
      <w:pPr>
        <w:jc w:val="both"/>
        <w:rPr>
          <w:szCs w:val="20"/>
        </w:rPr>
      </w:pPr>
      <w:r w:rsidRPr="00E81A24">
        <w:rPr>
          <w:szCs w:val="20"/>
        </w:rPr>
        <w:t>Proyecto de Desarrollo y Modernización Rural para las regiones Central y Paracentral (PRODEMOR CENTRAL).</w:t>
      </w:r>
    </w:p>
    <w:p w:rsidR="00E53A6C" w:rsidRPr="00E81A24" w:rsidRDefault="00E53A6C" w:rsidP="00E81A24">
      <w:pPr>
        <w:jc w:val="both"/>
        <w:rPr>
          <w:b/>
          <w:szCs w:val="20"/>
        </w:rPr>
      </w:pPr>
      <w:r w:rsidRPr="00E81A24">
        <w:rPr>
          <w:b/>
          <w:szCs w:val="20"/>
        </w:rPr>
        <w:t>Oficina Sectorial de la Pesca y Acuicul</w:t>
      </w:r>
      <w:r w:rsidR="00C462D2">
        <w:rPr>
          <w:b/>
          <w:szCs w:val="20"/>
        </w:rPr>
        <w:t>tura de Centro América (OSPESCA) de</w:t>
      </w:r>
      <w:r w:rsidRPr="00E81A24">
        <w:rPr>
          <w:b/>
          <w:szCs w:val="20"/>
        </w:rPr>
        <w:t xml:space="preserve"> 1º de abril al 25 de mayo de 2010, Consultor</w:t>
      </w:r>
      <w:r w:rsidR="00E81A24">
        <w:rPr>
          <w:b/>
          <w:szCs w:val="20"/>
        </w:rPr>
        <w:t>.</w:t>
      </w:r>
    </w:p>
    <w:p w:rsidR="00E53A6C" w:rsidRDefault="00E53A6C" w:rsidP="00E81A24">
      <w:pPr>
        <w:jc w:val="both"/>
        <w:rPr>
          <w:szCs w:val="20"/>
        </w:rPr>
      </w:pPr>
      <w:r w:rsidRPr="00E81A24">
        <w:rPr>
          <w:szCs w:val="20"/>
        </w:rPr>
        <w:t xml:space="preserve">Del proyecto “Fortalecimiento de la </w:t>
      </w:r>
      <w:proofErr w:type="spellStart"/>
      <w:r w:rsidRPr="00E81A24">
        <w:rPr>
          <w:szCs w:val="20"/>
        </w:rPr>
        <w:t>Asociatividad</w:t>
      </w:r>
      <w:proofErr w:type="spellEnd"/>
      <w:r w:rsidRPr="00E81A24">
        <w:rPr>
          <w:szCs w:val="20"/>
        </w:rPr>
        <w:t xml:space="preserve"> Empresarial en </w:t>
      </w:r>
      <w:smartTag w:uri="urn:schemas-microsoft-com:office:smarttags" w:element="PersonName">
        <w:smartTagPr>
          <w:attr w:name="ProductID" w:val="la Regi￳n Centroamericana"/>
        </w:smartTagPr>
        <w:r w:rsidRPr="00E81A24">
          <w:rPr>
            <w:szCs w:val="20"/>
          </w:rPr>
          <w:t>la Región Centroamericana</w:t>
        </w:r>
      </w:smartTag>
      <w:r w:rsidRPr="00E81A24">
        <w:rPr>
          <w:szCs w:val="20"/>
        </w:rPr>
        <w:t>”.</w:t>
      </w:r>
    </w:p>
    <w:p w:rsidR="00C462D2" w:rsidRPr="00E81A24" w:rsidRDefault="00C462D2" w:rsidP="00E81A24">
      <w:pPr>
        <w:jc w:val="both"/>
        <w:rPr>
          <w:szCs w:val="20"/>
        </w:rPr>
      </w:pPr>
    </w:p>
    <w:p w:rsidR="00E53A6C" w:rsidRPr="00E81A24" w:rsidRDefault="00E53A6C" w:rsidP="00E81A24">
      <w:pPr>
        <w:jc w:val="both"/>
        <w:rPr>
          <w:b/>
          <w:szCs w:val="20"/>
        </w:rPr>
      </w:pPr>
      <w:r w:rsidRPr="00E81A24">
        <w:rPr>
          <w:b/>
          <w:szCs w:val="20"/>
        </w:rPr>
        <w:lastRenderedPageBreak/>
        <w:t xml:space="preserve">Cámara Salvadoreña de la </w:t>
      </w:r>
      <w:r w:rsidR="00C462D2">
        <w:rPr>
          <w:b/>
          <w:szCs w:val="20"/>
        </w:rPr>
        <w:t>Pesca y la Acuicultura (CAMPAC) de</w:t>
      </w:r>
      <w:r w:rsidRPr="00E81A24">
        <w:rPr>
          <w:b/>
          <w:szCs w:val="20"/>
        </w:rPr>
        <w:t xml:space="preserve"> 1º de enero al 30 de agosto de 2010, Director Ejecutivo.</w:t>
      </w:r>
    </w:p>
    <w:p w:rsidR="00E53A6C" w:rsidRPr="00E81A24" w:rsidRDefault="00E53A6C" w:rsidP="00E81A24">
      <w:pPr>
        <w:tabs>
          <w:tab w:val="left" w:pos="207"/>
        </w:tabs>
        <w:spacing w:after="0" w:line="240" w:lineRule="auto"/>
        <w:ind w:right="40"/>
        <w:jc w:val="both"/>
        <w:rPr>
          <w:szCs w:val="20"/>
        </w:rPr>
      </w:pPr>
      <w:r w:rsidRPr="00E81A24">
        <w:rPr>
          <w:szCs w:val="20"/>
        </w:rPr>
        <w:t>Planeación, dirección y ejecución de las activid</w:t>
      </w:r>
      <w:r w:rsidR="00E81A24" w:rsidRPr="00E81A24">
        <w:rPr>
          <w:szCs w:val="20"/>
        </w:rPr>
        <w:t>ades de la Cámara, c</w:t>
      </w:r>
      <w:r w:rsidRPr="00E81A24">
        <w:rPr>
          <w:szCs w:val="20"/>
        </w:rPr>
        <w:t>oordinación de las Asamblea</w:t>
      </w:r>
      <w:r w:rsidR="00E81A24" w:rsidRPr="00E81A24">
        <w:rPr>
          <w:szCs w:val="20"/>
        </w:rPr>
        <w:t>s Generales y Juntas Directivas, e</w:t>
      </w:r>
      <w:r w:rsidRPr="00E81A24">
        <w:rPr>
          <w:szCs w:val="20"/>
        </w:rPr>
        <w:t>jecución de los</w:t>
      </w:r>
      <w:r w:rsidR="00E81A24" w:rsidRPr="00E81A24">
        <w:rPr>
          <w:szCs w:val="20"/>
        </w:rPr>
        <w:t xml:space="preserve"> acuerdos de Asambleas y Juntas, r</w:t>
      </w:r>
      <w:r w:rsidRPr="00E81A24">
        <w:rPr>
          <w:szCs w:val="20"/>
        </w:rPr>
        <w:t>epresentante ante Instituciones de G</w:t>
      </w:r>
      <w:r w:rsidR="00E81A24" w:rsidRPr="00E81A24">
        <w:rPr>
          <w:szCs w:val="20"/>
        </w:rPr>
        <w:t xml:space="preserve">obierno y de la empresa privada. </w:t>
      </w:r>
    </w:p>
    <w:p w:rsidR="00E53A6C" w:rsidRPr="00E81A24" w:rsidRDefault="00E53A6C" w:rsidP="00E81A24">
      <w:pPr>
        <w:jc w:val="both"/>
        <w:rPr>
          <w:b/>
          <w:szCs w:val="20"/>
        </w:rPr>
      </w:pPr>
    </w:p>
    <w:p w:rsidR="00E53A6C" w:rsidRDefault="00E53A6C" w:rsidP="00E81A24">
      <w:pPr>
        <w:jc w:val="both"/>
        <w:rPr>
          <w:b/>
          <w:sz w:val="20"/>
          <w:szCs w:val="20"/>
        </w:rPr>
      </w:pPr>
      <w:r w:rsidRPr="00E81A24">
        <w:rPr>
          <w:b/>
          <w:szCs w:val="20"/>
        </w:rPr>
        <w:t>Organización Mundial para la Agri</w:t>
      </w:r>
      <w:r w:rsidR="00C462D2">
        <w:rPr>
          <w:b/>
          <w:szCs w:val="20"/>
        </w:rPr>
        <w:t>cultura y la Alimentación (FAO) de</w:t>
      </w:r>
      <w:r w:rsidRPr="00E81A24">
        <w:rPr>
          <w:b/>
          <w:szCs w:val="20"/>
        </w:rPr>
        <w:t xml:space="preserve"> 1º de diciembre de 2009 hasta julio de 2010, Director Técnico</w:t>
      </w:r>
      <w:r>
        <w:rPr>
          <w:b/>
          <w:sz w:val="20"/>
          <w:szCs w:val="20"/>
        </w:rPr>
        <w:t>.</w:t>
      </w:r>
    </w:p>
    <w:p w:rsidR="00E53A6C" w:rsidRDefault="00E53A6C" w:rsidP="00E53A6C">
      <w:pPr>
        <w:tabs>
          <w:tab w:val="left" w:pos="207"/>
        </w:tabs>
        <w:spacing w:after="0" w:line="240" w:lineRule="auto"/>
        <w:ind w:right="40"/>
        <w:jc w:val="both"/>
        <w:rPr>
          <w:sz w:val="20"/>
          <w:szCs w:val="20"/>
        </w:rPr>
      </w:pPr>
    </w:p>
    <w:p w:rsidR="00E53A6C" w:rsidRPr="00E81A24" w:rsidRDefault="00E53A6C" w:rsidP="00E53A6C">
      <w:pPr>
        <w:tabs>
          <w:tab w:val="left" w:pos="207"/>
        </w:tabs>
        <w:spacing w:after="0" w:line="240" w:lineRule="auto"/>
        <w:ind w:right="40"/>
        <w:jc w:val="both"/>
        <w:rPr>
          <w:szCs w:val="20"/>
        </w:rPr>
      </w:pPr>
      <w:r w:rsidRPr="00E81A24">
        <w:rPr>
          <w:szCs w:val="20"/>
        </w:rPr>
        <w:t>Del Proyecto “Mejoramiento de los Mercados   Internos de Productos Pesqueros en El Salvador”.</w:t>
      </w:r>
    </w:p>
    <w:p w:rsidR="00E53A6C" w:rsidRDefault="00E53A6C" w:rsidP="00E53A6C">
      <w:pPr>
        <w:tabs>
          <w:tab w:val="left" w:pos="207"/>
        </w:tabs>
        <w:spacing w:after="0" w:line="240" w:lineRule="auto"/>
        <w:ind w:right="40"/>
        <w:jc w:val="both"/>
        <w:rPr>
          <w:sz w:val="20"/>
          <w:szCs w:val="20"/>
        </w:rPr>
      </w:pPr>
    </w:p>
    <w:p w:rsidR="00E53A6C" w:rsidRPr="00E81A24" w:rsidRDefault="00E53A6C" w:rsidP="00E81A24">
      <w:pPr>
        <w:jc w:val="both"/>
        <w:rPr>
          <w:b/>
          <w:szCs w:val="20"/>
        </w:rPr>
      </w:pPr>
      <w:r w:rsidRPr="00E81A24">
        <w:rPr>
          <w:b/>
          <w:szCs w:val="20"/>
        </w:rPr>
        <w:t>Dirección General de Agronegocios del Minist</w:t>
      </w:r>
      <w:r w:rsidR="00C462D2">
        <w:rPr>
          <w:b/>
          <w:szCs w:val="20"/>
        </w:rPr>
        <w:t>erio de Agricultura y Ganadería de</w:t>
      </w:r>
      <w:r w:rsidRPr="00E81A24">
        <w:rPr>
          <w:b/>
          <w:szCs w:val="20"/>
        </w:rPr>
        <w:t xml:space="preserve"> 15</w:t>
      </w:r>
      <w:r w:rsidR="00E81A24">
        <w:rPr>
          <w:b/>
          <w:szCs w:val="20"/>
        </w:rPr>
        <w:t xml:space="preserve"> de julio al 30 de </w:t>
      </w:r>
      <w:r w:rsidRPr="00E81A24">
        <w:rPr>
          <w:b/>
          <w:szCs w:val="20"/>
        </w:rPr>
        <w:t>noviembre de 2009, Director General.</w:t>
      </w:r>
    </w:p>
    <w:p w:rsidR="00E53A6C" w:rsidRPr="00E81A24" w:rsidRDefault="00E53A6C" w:rsidP="00E81A24">
      <w:pPr>
        <w:tabs>
          <w:tab w:val="left" w:pos="207"/>
          <w:tab w:val="left" w:pos="317"/>
          <w:tab w:val="left" w:pos="5157"/>
        </w:tabs>
        <w:spacing w:after="0" w:line="240" w:lineRule="auto"/>
        <w:ind w:right="40"/>
        <w:jc w:val="both"/>
        <w:rPr>
          <w:szCs w:val="20"/>
        </w:rPr>
      </w:pPr>
      <w:r w:rsidRPr="00E81A24">
        <w:rPr>
          <w:szCs w:val="20"/>
        </w:rPr>
        <w:t>Planificar, dirigir y controlar la</w:t>
      </w:r>
      <w:r w:rsidR="00E81A24">
        <w:rPr>
          <w:szCs w:val="20"/>
        </w:rPr>
        <w:t xml:space="preserve"> Dirección General Agronegocios, r</w:t>
      </w:r>
      <w:r w:rsidRPr="00E81A24">
        <w:rPr>
          <w:szCs w:val="20"/>
        </w:rPr>
        <w:t>epresentar a los Titulares del Ministerio de Agricultura y Ganadería en reuniones de trabajo y eventos nacionales, regionales e interna</w:t>
      </w:r>
      <w:r w:rsidR="00E81A24">
        <w:rPr>
          <w:szCs w:val="20"/>
        </w:rPr>
        <w:t>cionales y c</w:t>
      </w:r>
      <w:r w:rsidRPr="00E81A24">
        <w:rPr>
          <w:szCs w:val="20"/>
        </w:rPr>
        <w:t>oordinar la Cooperación Internacional: JICA, Misión   Técnica de Taiwán.</w:t>
      </w:r>
    </w:p>
    <w:p w:rsidR="00E53A6C" w:rsidRDefault="00E53A6C" w:rsidP="00E53A6C">
      <w:pPr>
        <w:tabs>
          <w:tab w:val="left" w:pos="207"/>
        </w:tabs>
        <w:spacing w:after="0" w:line="240" w:lineRule="auto"/>
        <w:ind w:right="40"/>
        <w:jc w:val="both"/>
        <w:rPr>
          <w:sz w:val="20"/>
          <w:szCs w:val="20"/>
        </w:rPr>
      </w:pPr>
    </w:p>
    <w:p w:rsidR="00E53A6C" w:rsidRPr="00E81A24" w:rsidRDefault="00E53A6C" w:rsidP="00E81A24">
      <w:pPr>
        <w:jc w:val="both"/>
        <w:rPr>
          <w:b/>
          <w:szCs w:val="20"/>
        </w:rPr>
      </w:pPr>
      <w:r w:rsidRPr="00E81A24">
        <w:rPr>
          <w:b/>
          <w:szCs w:val="20"/>
        </w:rPr>
        <w:t>Dirección General de Desarrollo de la Pesc</w:t>
      </w:r>
      <w:r w:rsidR="00C462D2">
        <w:rPr>
          <w:b/>
          <w:szCs w:val="20"/>
        </w:rPr>
        <w:t>a y la Acuicultura (CENDEPESCA) de</w:t>
      </w:r>
      <w:r w:rsidRPr="00E81A24">
        <w:rPr>
          <w:b/>
          <w:szCs w:val="20"/>
        </w:rPr>
        <w:t xml:space="preserve"> </w:t>
      </w:r>
      <w:r w:rsidR="00353F51">
        <w:rPr>
          <w:b/>
          <w:szCs w:val="20"/>
        </w:rPr>
        <w:t xml:space="preserve">2004 hasta </w:t>
      </w:r>
      <w:r w:rsidRPr="00E81A24">
        <w:rPr>
          <w:b/>
          <w:szCs w:val="20"/>
        </w:rPr>
        <w:t>2009, Director General.</w:t>
      </w:r>
    </w:p>
    <w:p w:rsidR="00E53A6C" w:rsidRPr="00E81A24" w:rsidRDefault="00E53A6C" w:rsidP="00E81A24">
      <w:pPr>
        <w:tabs>
          <w:tab w:val="left" w:pos="207"/>
          <w:tab w:val="left" w:pos="317"/>
          <w:tab w:val="left" w:pos="5157"/>
        </w:tabs>
        <w:spacing w:after="0" w:line="240" w:lineRule="auto"/>
        <w:ind w:right="40"/>
        <w:jc w:val="both"/>
        <w:rPr>
          <w:szCs w:val="20"/>
        </w:rPr>
      </w:pPr>
      <w:r w:rsidRPr="00E81A24">
        <w:rPr>
          <w:szCs w:val="20"/>
        </w:rPr>
        <w:t>Planificar, dirigir y controlar</w:t>
      </w:r>
      <w:r w:rsidR="00E81A24" w:rsidRPr="00E81A24">
        <w:rPr>
          <w:szCs w:val="20"/>
        </w:rPr>
        <w:t xml:space="preserve"> la Dirección General de la Institución </w:t>
      </w:r>
      <w:r w:rsidRPr="00E81A24">
        <w:rPr>
          <w:szCs w:val="20"/>
        </w:rPr>
        <w:t>Nacional rector</w:t>
      </w:r>
      <w:r w:rsidR="00E81A24" w:rsidRPr="00E81A24">
        <w:rPr>
          <w:szCs w:val="20"/>
        </w:rPr>
        <w:t>a de la Pesca y la Acuicultura, r</w:t>
      </w:r>
      <w:r w:rsidRPr="00E81A24">
        <w:rPr>
          <w:szCs w:val="20"/>
        </w:rPr>
        <w:t>epresentar a los Titulares del Ministerio de Agricultura y Ganadería en reuniones de trabajo y eventos nacionale</w:t>
      </w:r>
      <w:r w:rsidR="00E81A24" w:rsidRPr="00E81A24">
        <w:rPr>
          <w:szCs w:val="20"/>
        </w:rPr>
        <w:t>s, regionales e internacionales, f</w:t>
      </w:r>
      <w:r w:rsidRPr="00E81A24">
        <w:rPr>
          <w:szCs w:val="20"/>
        </w:rPr>
        <w:t>ungir como autoridad competente para la aplicación de la ley general de ordenación y promoción de pesc</w:t>
      </w:r>
      <w:r w:rsidR="00E81A24" w:rsidRPr="00E81A24">
        <w:rPr>
          <w:szCs w:val="20"/>
        </w:rPr>
        <w:t>a y acuicultura y su reglamento y c</w:t>
      </w:r>
      <w:r w:rsidRPr="00E81A24">
        <w:rPr>
          <w:szCs w:val="20"/>
        </w:rPr>
        <w:t>oordinar la Cooperación Internacional: JICA, Misión  Técnica de Taiwán, ARAUCARIA</w:t>
      </w:r>
      <w:r w:rsidR="00353F51">
        <w:rPr>
          <w:szCs w:val="20"/>
        </w:rPr>
        <w:t>.</w:t>
      </w:r>
    </w:p>
    <w:p w:rsidR="00E53A6C" w:rsidRPr="00E81A24" w:rsidRDefault="00E53A6C" w:rsidP="00E81A24">
      <w:pPr>
        <w:tabs>
          <w:tab w:val="left" w:pos="207"/>
          <w:tab w:val="left" w:pos="317"/>
          <w:tab w:val="left" w:pos="5157"/>
        </w:tabs>
        <w:spacing w:after="0" w:line="240" w:lineRule="auto"/>
        <w:ind w:right="40"/>
        <w:jc w:val="both"/>
        <w:rPr>
          <w:szCs w:val="20"/>
        </w:rPr>
      </w:pPr>
    </w:p>
    <w:p w:rsidR="00E53A6C" w:rsidRPr="00353F51" w:rsidRDefault="00E53A6C" w:rsidP="00353F51">
      <w:pPr>
        <w:jc w:val="both"/>
        <w:rPr>
          <w:b/>
          <w:szCs w:val="20"/>
        </w:rPr>
      </w:pPr>
      <w:proofErr w:type="spellStart"/>
      <w:r w:rsidRPr="00353F51">
        <w:rPr>
          <w:b/>
          <w:szCs w:val="20"/>
        </w:rPr>
        <w:t>Prestomar</w:t>
      </w:r>
      <w:proofErr w:type="spellEnd"/>
      <w:r w:rsidRPr="00353F51">
        <w:rPr>
          <w:b/>
          <w:szCs w:val="20"/>
        </w:rPr>
        <w:t xml:space="preserve"> S.A. de C.V.</w:t>
      </w:r>
      <w:r w:rsidR="00C462D2">
        <w:rPr>
          <w:b/>
          <w:szCs w:val="20"/>
        </w:rPr>
        <w:t xml:space="preserve"> de</w:t>
      </w:r>
      <w:r w:rsidRPr="00353F51">
        <w:rPr>
          <w:b/>
          <w:szCs w:val="20"/>
        </w:rPr>
        <w:t xml:space="preserve"> </w:t>
      </w:r>
      <w:r w:rsidR="00353F51" w:rsidRPr="00353F51">
        <w:rPr>
          <w:b/>
          <w:szCs w:val="20"/>
        </w:rPr>
        <w:t xml:space="preserve">1990 hasta </w:t>
      </w:r>
      <w:r w:rsidRPr="00353F51">
        <w:rPr>
          <w:b/>
          <w:szCs w:val="20"/>
        </w:rPr>
        <w:t>2003, Gerente General.</w:t>
      </w:r>
    </w:p>
    <w:p w:rsidR="00E53A6C" w:rsidRPr="00353F51" w:rsidRDefault="00E53A6C" w:rsidP="00353F51">
      <w:pPr>
        <w:tabs>
          <w:tab w:val="left" w:pos="207"/>
          <w:tab w:val="left" w:pos="5157"/>
          <w:tab w:val="left" w:pos="5197"/>
        </w:tabs>
        <w:spacing w:after="0" w:line="240" w:lineRule="auto"/>
        <w:jc w:val="both"/>
        <w:rPr>
          <w:szCs w:val="20"/>
        </w:rPr>
      </w:pPr>
      <w:r w:rsidRPr="00353F51">
        <w:rPr>
          <w:szCs w:val="20"/>
        </w:rPr>
        <w:t>Planificar, dirigir y controla</w:t>
      </w:r>
      <w:r w:rsidR="00353F51" w:rsidRPr="00353F51">
        <w:rPr>
          <w:szCs w:val="20"/>
        </w:rPr>
        <w:t xml:space="preserve">r las operaciones de pesca con </w:t>
      </w:r>
      <w:r w:rsidRPr="00353F51">
        <w:rPr>
          <w:szCs w:val="20"/>
        </w:rPr>
        <w:t>flota de 23 barcos e</w:t>
      </w:r>
      <w:r w:rsidR="00353F51">
        <w:rPr>
          <w:szCs w:val="20"/>
        </w:rPr>
        <w:t>n El Salvador y 24 en Nicaragua, p</w:t>
      </w:r>
      <w:r w:rsidRPr="00353F51">
        <w:rPr>
          <w:szCs w:val="20"/>
        </w:rPr>
        <w:t>lanificar, dirigir, supervisar y controlar  los programas de mantenimiento de equipos, motores y embarcaciones (mecánic</w:t>
      </w:r>
      <w:r w:rsidR="00353F51">
        <w:rPr>
          <w:szCs w:val="20"/>
        </w:rPr>
        <w:t>o, estructural, varadero, etc.), d</w:t>
      </w:r>
      <w:r w:rsidRPr="00353F51">
        <w:rPr>
          <w:szCs w:val="20"/>
        </w:rPr>
        <w:t xml:space="preserve">irección de programas de entrenamiento </w:t>
      </w:r>
      <w:r w:rsidR="00353F51">
        <w:rPr>
          <w:szCs w:val="20"/>
        </w:rPr>
        <w:t>en mecánica, navegación y pesca, r</w:t>
      </w:r>
      <w:r w:rsidRPr="00353F51">
        <w:rPr>
          <w:szCs w:val="20"/>
        </w:rPr>
        <w:t>esponsable del mantenimiento de la infr</w:t>
      </w:r>
      <w:r w:rsidR="00353F51">
        <w:rPr>
          <w:szCs w:val="20"/>
        </w:rPr>
        <w:t xml:space="preserve">aestructura del Puerto </w:t>
      </w:r>
      <w:proofErr w:type="spellStart"/>
      <w:r w:rsidR="00353F51">
        <w:rPr>
          <w:szCs w:val="20"/>
        </w:rPr>
        <w:t>Barillas</w:t>
      </w:r>
      <w:proofErr w:type="spellEnd"/>
      <w:r w:rsidR="00353F51">
        <w:rPr>
          <w:szCs w:val="20"/>
        </w:rPr>
        <w:t>, a</w:t>
      </w:r>
      <w:r w:rsidRPr="00353F51">
        <w:rPr>
          <w:szCs w:val="20"/>
        </w:rPr>
        <w:t>poyo en la gestión de las actividades relacionas con las plant</w:t>
      </w:r>
      <w:r w:rsidR="00353F51">
        <w:rPr>
          <w:szCs w:val="20"/>
        </w:rPr>
        <w:t>as de proceso en ambas regiones, e</w:t>
      </w:r>
      <w:r w:rsidRPr="00353F51">
        <w:rPr>
          <w:szCs w:val="20"/>
        </w:rPr>
        <w:t>jecutivo de enlace con las autoridades competentes (CENDESCA-ADPESCA, Fuerza Naval, MAG- MIFIC, Ministerio de Trabajo, Est</w:t>
      </w:r>
      <w:r w:rsidR="00353F51">
        <w:rPr>
          <w:szCs w:val="20"/>
        </w:rPr>
        <w:t>ado Mayor, Ministerio de Salud), e</w:t>
      </w:r>
      <w:r w:rsidRPr="00353F51">
        <w:rPr>
          <w:szCs w:val="20"/>
        </w:rPr>
        <w:t xml:space="preserve">jecutivo de enlace con las comunidades de influencia </w:t>
      </w:r>
      <w:r w:rsidR="00353F51">
        <w:rPr>
          <w:szCs w:val="20"/>
        </w:rPr>
        <w:t>de los proyectos en El Salvador, r</w:t>
      </w:r>
      <w:r w:rsidRPr="00353F51">
        <w:rPr>
          <w:szCs w:val="20"/>
        </w:rPr>
        <w:t>epresentante ante la Cámara d</w:t>
      </w:r>
      <w:r w:rsidR="00353F51">
        <w:rPr>
          <w:szCs w:val="20"/>
        </w:rPr>
        <w:t>e la Pesca y Acuicultura CAMPAC, también era r</w:t>
      </w:r>
      <w:r w:rsidRPr="00353F51">
        <w:rPr>
          <w:szCs w:val="20"/>
        </w:rPr>
        <w:t>epresentante ante la Comisión Nacional d</w:t>
      </w:r>
      <w:r w:rsidR="00353F51">
        <w:rPr>
          <w:szCs w:val="20"/>
        </w:rPr>
        <w:t>e Pesca y Acuicultura CONAPESCA y d</w:t>
      </w:r>
      <w:r w:rsidRPr="00353F51">
        <w:rPr>
          <w:szCs w:val="20"/>
        </w:rPr>
        <w:t>esarrollo de nuevas pesquerías (langostino, sardina, camarón de profundidad, etc.)</w:t>
      </w:r>
    </w:p>
    <w:p w:rsidR="00E53A6C" w:rsidRDefault="00E53A6C" w:rsidP="00E53A6C">
      <w:pPr>
        <w:tabs>
          <w:tab w:val="left" w:pos="207"/>
        </w:tabs>
        <w:spacing w:after="0" w:line="240" w:lineRule="auto"/>
        <w:ind w:right="40"/>
        <w:jc w:val="both"/>
        <w:rPr>
          <w:sz w:val="20"/>
          <w:szCs w:val="20"/>
        </w:rPr>
      </w:pPr>
    </w:p>
    <w:p w:rsidR="00C462D2" w:rsidRDefault="00C462D2" w:rsidP="00E53A6C">
      <w:pPr>
        <w:tabs>
          <w:tab w:val="left" w:pos="207"/>
        </w:tabs>
        <w:spacing w:after="0" w:line="240" w:lineRule="auto"/>
        <w:ind w:right="40"/>
        <w:jc w:val="both"/>
        <w:rPr>
          <w:sz w:val="20"/>
          <w:szCs w:val="20"/>
        </w:rPr>
      </w:pPr>
    </w:p>
    <w:p w:rsidR="00C462D2" w:rsidRDefault="00C462D2" w:rsidP="00E53A6C">
      <w:pPr>
        <w:tabs>
          <w:tab w:val="left" w:pos="207"/>
        </w:tabs>
        <w:spacing w:after="0" w:line="240" w:lineRule="auto"/>
        <w:ind w:right="40"/>
        <w:jc w:val="both"/>
        <w:rPr>
          <w:sz w:val="20"/>
          <w:szCs w:val="20"/>
        </w:rPr>
      </w:pPr>
    </w:p>
    <w:p w:rsidR="00C462D2" w:rsidRDefault="00C462D2" w:rsidP="00E53A6C">
      <w:pPr>
        <w:tabs>
          <w:tab w:val="left" w:pos="207"/>
        </w:tabs>
        <w:spacing w:after="0" w:line="240" w:lineRule="auto"/>
        <w:ind w:right="40"/>
        <w:jc w:val="both"/>
        <w:rPr>
          <w:sz w:val="20"/>
          <w:szCs w:val="20"/>
        </w:rPr>
      </w:pPr>
    </w:p>
    <w:p w:rsidR="00C462D2" w:rsidRDefault="00C462D2" w:rsidP="00E53A6C">
      <w:pPr>
        <w:tabs>
          <w:tab w:val="left" w:pos="207"/>
        </w:tabs>
        <w:spacing w:after="0" w:line="240" w:lineRule="auto"/>
        <w:ind w:right="40"/>
        <w:jc w:val="both"/>
        <w:rPr>
          <w:sz w:val="20"/>
          <w:szCs w:val="20"/>
        </w:rPr>
      </w:pPr>
    </w:p>
    <w:p w:rsidR="00E53A6C" w:rsidRPr="00353F51" w:rsidRDefault="00E53A6C" w:rsidP="00353F51">
      <w:pPr>
        <w:jc w:val="both"/>
        <w:rPr>
          <w:b/>
          <w:szCs w:val="20"/>
        </w:rPr>
      </w:pPr>
      <w:r w:rsidRPr="00353F51">
        <w:rPr>
          <w:b/>
          <w:szCs w:val="20"/>
        </w:rPr>
        <w:t xml:space="preserve">Banco Agrícola S.A. </w:t>
      </w:r>
      <w:r w:rsidR="00C462D2">
        <w:rPr>
          <w:b/>
          <w:szCs w:val="20"/>
        </w:rPr>
        <w:t xml:space="preserve"> de 1982 hasta</w:t>
      </w:r>
      <w:r w:rsidRPr="00353F51">
        <w:rPr>
          <w:b/>
          <w:szCs w:val="20"/>
        </w:rPr>
        <w:t xml:space="preserve"> 1989, Jefe Dpto. Agropecuario.</w:t>
      </w:r>
    </w:p>
    <w:p w:rsidR="00E53A6C" w:rsidRDefault="00E53A6C" w:rsidP="00D5584D">
      <w:pPr>
        <w:tabs>
          <w:tab w:val="left" w:pos="207"/>
          <w:tab w:val="left" w:pos="5047"/>
        </w:tabs>
        <w:spacing w:after="0" w:line="240" w:lineRule="auto"/>
        <w:ind w:right="40"/>
        <w:jc w:val="both"/>
        <w:rPr>
          <w:sz w:val="20"/>
          <w:szCs w:val="20"/>
        </w:rPr>
      </w:pPr>
      <w:r w:rsidRPr="00353F51">
        <w:rPr>
          <w:szCs w:val="20"/>
        </w:rPr>
        <w:t>Diseño y elaboración de formularios, formatos y procesos para la creación del Departa</w:t>
      </w:r>
      <w:r w:rsidR="00353F51">
        <w:rPr>
          <w:szCs w:val="20"/>
        </w:rPr>
        <w:t>mento de Créditos Agropecuarios, p</w:t>
      </w:r>
      <w:r w:rsidRPr="00353F51">
        <w:rPr>
          <w:szCs w:val="20"/>
        </w:rPr>
        <w:t>laneación, d</w:t>
      </w:r>
      <w:r w:rsidR="00353F51">
        <w:rPr>
          <w:szCs w:val="20"/>
        </w:rPr>
        <w:t>irección y control de la Unidad, s</w:t>
      </w:r>
      <w:r w:rsidRPr="00353F51">
        <w:rPr>
          <w:szCs w:val="20"/>
        </w:rPr>
        <w:t>upervisión y aná</w:t>
      </w:r>
      <w:r w:rsidR="00353F51">
        <w:rPr>
          <w:szCs w:val="20"/>
        </w:rPr>
        <w:t>lisis de créditos agropecuarios, a</w:t>
      </w:r>
      <w:r w:rsidRPr="00353F51">
        <w:rPr>
          <w:szCs w:val="20"/>
        </w:rPr>
        <w:t>nálisis y presentación de solicitudes de créditos a los difere</w:t>
      </w:r>
      <w:r w:rsidR="00353F51">
        <w:rPr>
          <w:szCs w:val="20"/>
        </w:rPr>
        <w:t>ntes      niveles de aprobación, r</w:t>
      </w:r>
      <w:r w:rsidRPr="00353F51">
        <w:rPr>
          <w:szCs w:val="20"/>
        </w:rPr>
        <w:t>epresentante de la Institución ante e</w:t>
      </w:r>
      <w:r w:rsidR="00D5584D">
        <w:rPr>
          <w:szCs w:val="20"/>
        </w:rPr>
        <w:t>l Comité Agropecuario de ABANSA, r</w:t>
      </w:r>
      <w:r w:rsidRPr="00353F51">
        <w:rPr>
          <w:szCs w:val="20"/>
        </w:rPr>
        <w:t>epresentante de la Institución ante el Comité Interinstitucional para el manejo de las Cooperativ</w:t>
      </w:r>
      <w:r w:rsidR="00D5584D">
        <w:rPr>
          <w:szCs w:val="20"/>
        </w:rPr>
        <w:t>as del Sector Agrario Reformado, i</w:t>
      </w:r>
      <w:r w:rsidRPr="00353F51">
        <w:rPr>
          <w:szCs w:val="20"/>
        </w:rPr>
        <w:t>ntegrante de Comités de Crédito con firma “B”</w:t>
      </w:r>
      <w:r w:rsidR="00D5584D">
        <w:rPr>
          <w:szCs w:val="20"/>
        </w:rPr>
        <w:t xml:space="preserve"> y r</w:t>
      </w:r>
      <w:r w:rsidRPr="00A70D4F">
        <w:rPr>
          <w:sz w:val="20"/>
          <w:szCs w:val="20"/>
        </w:rPr>
        <w:t>epresentante de la Institución ante empresas de alto riesgo.</w:t>
      </w:r>
    </w:p>
    <w:p w:rsidR="00D5584D" w:rsidRDefault="00D5584D" w:rsidP="00D5584D">
      <w:pPr>
        <w:tabs>
          <w:tab w:val="left" w:pos="207"/>
          <w:tab w:val="left" w:pos="5047"/>
        </w:tabs>
        <w:spacing w:after="0" w:line="240" w:lineRule="auto"/>
        <w:ind w:right="40"/>
        <w:jc w:val="both"/>
        <w:rPr>
          <w:sz w:val="20"/>
          <w:szCs w:val="20"/>
        </w:rPr>
      </w:pPr>
    </w:p>
    <w:p w:rsidR="00EB3E98" w:rsidRPr="00D5584D" w:rsidRDefault="00EB3E98" w:rsidP="00D5584D">
      <w:pPr>
        <w:jc w:val="both"/>
        <w:rPr>
          <w:b/>
          <w:szCs w:val="20"/>
        </w:rPr>
      </w:pPr>
      <w:r w:rsidRPr="00D5584D">
        <w:rPr>
          <w:b/>
          <w:szCs w:val="20"/>
        </w:rPr>
        <w:t xml:space="preserve">Federación de Caja de Crédito de R. L. </w:t>
      </w:r>
      <w:r w:rsidR="00C462D2">
        <w:rPr>
          <w:b/>
          <w:szCs w:val="20"/>
        </w:rPr>
        <w:t xml:space="preserve">de </w:t>
      </w:r>
      <w:r w:rsidR="00D5584D">
        <w:rPr>
          <w:b/>
          <w:szCs w:val="20"/>
        </w:rPr>
        <w:t>1980 hasta</w:t>
      </w:r>
      <w:r w:rsidRPr="00D5584D">
        <w:rPr>
          <w:b/>
          <w:szCs w:val="20"/>
        </w:rPr>
        <w:t xml:space="preserve"> 1982, Jefe Dpto. de Desarrollo Gerencial.</w:t>
      </w:r>
    </w:p>
    <w:p w:rsidR="00EB3E98" w:rsidRPr="00D5584D" w:rsidRDefault="00EB3E98" w:rsidP="00D5584D">
      <w:pPr>
        <w:tabs>
          <w:tab w:val="left" w:pos="207"/>
          <w:tab w:val="left" w:pos="253"/>
        </w:tabs>
        <w:spacing w:after="0" w:line="240" w:lineRule="auto"/>
        <w:jc w:val="both"/>
        <w:rPr>
          <w:szCs w:val="20"/>
        </w:rPr>
      </w:pPr>
      <w:r w:rsidRPr="00D5584D">
        <w:rPr>
          <w:szCs w:val="20"/>
        </w:rPr>
        <w:t>Diseño de Programas de Desarrollo Gerencial para  los Gerentes de</w:t>
      </w:r>
      <w:r w:rsidR="00D5584D">
        <w:rPr>
          <w:szCs w:val="20"/>
        </w:rPr>
        <w:t xml:space="preserve"> las Cajas de Crédito Afiliadas, d</w:t>
      </w:r>
      <w:r w:rsidRPr="00D5584D">
        <w:rPr>
          <w:szCs w:val="20"/>
        </w:rPr>
        <w:t>irección del P</w:t>
      </w:r>
      <w:r w:rsidR="00D5584D">
        <w:rPr>
          <w:szCs w:val="20"/>
        </w:rPr>
        <w:t>rograma de Desarrollo Gerencial, p</w:t>
      </w:r>
      <w:r w:rsidRPr="00D5584D">
        <w:rPr>
          <w:szCs w:val="20"/>
        </w:rPr>
        <w:t>resentación de charlas sobre pl</w:t>
      </w:r>
      <w:r w:rsidR="00D5584D">
        <w:rPr>
          <w:szCs w:val="20"/>
        </w:rPr>
        <w:t>aneamiento, dirección y Control y d</w:t>
      </w:r>
      <w:r w:rsidRPr="00D5584D">
        <w:rPr>
          <w:szCs w:val="20"/>
        </w:rPr>
        <w:t>iseño y ejecución de presupuesto de operación de la Unidad.</w:t>
      </w:r>
    </w:p>
    <w:p w:rsidR="00EB3E98" w:rsidRPr="00D5584D" w:rsidRDefault="00EB3E98" w:rsidP="00EB3E98">
      <w:pPr>
        <w:tabs>
          <w:tab w:val="left" w:pos="207"/>
          <w:tab w:val="left" w:pos="253"/>
        </w:tabs>
        <w:spacing w:after="0" w:line="240" w:lineRule="auto"/>
        <w:jc w:val="both"/>
        <w:rPr>
          <w:szCs w:val="20"/>
        </w:rPr>
      </w:pPr>
    </w:p>
    <w:p w:rsidR="00EB3E98" w:rsidRDefault="00EB3E98" w:rsidP="00E53A6C">
      <w:pPr>
        <w:tabs>
          <w:tab w:val="left" w:pos="207"/>
        </w:tabs>
        <w:spacing w:after="0" w:line="240" w:lineRule="auto"/>
        <w:ind w:right="40"/>
        <w:jc w:val="both"/>
        <w:rPr>
          <w:b/>
          <w:szCs w:val="20"/>
        </w:rPr>
      </w:pPr>
      <w:proofErr w:type="spellStart"/>
      <w:r w:rsidRPr="00D5584D">
        <w:rPr>
          <w:b/>
          <w:szCs w:val="20"/>
        </w:rPr>
        <w:t>Quality</w:t>
      </w:r>
      <w:proofErr w:type="spellEnd"/>
      <w:r w:rsidRPr="00D5584D">
        <w:rPr>
          <w:b/>
          <w:szCs w:val="20"/>
        </w:rPr>
        <w:t xml:space="preserve"> Me</w:t>
      </w:r>
      <w:r w:rsidR="00C462D2">
        <w:rPr>
          <w:b/>
          <w:szCs w:val="20"/>
        </w:rPr>
        <w:t>tas de C.A.  S.A. de C.V. de 1979 hasta</w:t>
      </w:r>
      <w:r w:rsidRPr="00D5584D">
        <w:rPr>
          <w:b/>
          <w:szCs w:val="20"/>
        </w:rPr>
        <w:t xml:space="preserve"> 1980, Asistente de la Gerencia.</w:t>
      </w:r>
    </w:p>
    <w:p w:rsidR="00D5584D" w:rsidRPr="00D5584D" w:rsidRDefault="00D5584D" w:rsidP="00E53A6C">
      <w:pPr>
        <w:tabs>
          <w:tab w:val="left" w:pos="207"/>
        </w:tabs>
        <w:spacing w:after="0" w:line="240" w:lineRule="auto"/>
        <w:ind w:right="40"/>
        <w:jc w:val="both"/>
        <w:rPr>
          <w:b/>
          <w:szCs w:val="20"/>
        </w:rPr>
      </w:pPr>
    </w:p>
    <w:p w:rsidR="00EB3E98" w:rsidRPr="00D5584D" w:rsidRDefault="00EB3E98" w:rsidP="00D5584D">
      <w:pPr>
        <w:tabs>
          <w:tab w:val="left" w:pos="207"/>
          <w:tab w:val="left" w:pos="253"/>
        </w:tabs>
        <w:spacing w:after="0" w:line="240" w:lineRule="auto"/>
        <w:jc w:val="both"/>
        <w:rPr>
          <w:szCs w:val="20"/>
        </w:rPr>
      </w:pPr>
      <w:r w:rsidRPr="00D5584D">
        <w:rPr>
          <w:szCs w:val="20"/>
        </w:rPr>
        <w:t>Program</w:t>
      </w:r>
      <w:r w:rsidR="00D5584D">
        <w:rPr>
          <w:szCs w:val="20"/>
        </w:rPr>
        <w:t>ación de operaciones de destazo, v</w:t>
      </w:r>
      <w:r w:rsidRPr="00D5584D">
        <w:rPr>
          <w:szCs w:val="20"/>
        </w:rPr>
        <w:t xml:space="preserve">erificación de procesos  de peso, sacrificio, eviscerado, </w:t>
      </w:r>
      <w:r w:rsidR="00D5584D">
        <w:rPr>
          <w:szCs w:val="20"/>
        </w:rPr>
        <w:t>corte, almacenamiento y empaque, s</w:t>
      </w:r>
      <w:r w:rsidRPr="00D5584D">
        <w:rPr>
          <w:szCs w:val="20"/>
        </w:rPr>
        <w:t>upervisión de programa de mantenimiento de equipo</w:t>
      </w:r>
      <w:r w:rsidR="00D5584D">
        <w:rPr>
          <w:szCs w:val="20"/>
        </w:rPr>
        <w:t>s de    proceso y refrigeración, s</w:t>
      </w:r>
      <w:r w:rsidRPr="00D5584D">
        <w:rPr>
          <w:szCs w:val="20"/>
        </w:rPr>
        <w:t>upervisión de plantas de subp</w:t>
      </w:r>
      <w:r w:rsidR="00D5584D">
        <w:rPr>
          <w:szCs w:val="20"/>
        </w:rPr>
        <w:t>roductos y tratamiento de aguas, a</w:t>
      </w:r>
      <w:r w:rsidRPr="00D5584D">
        <w:rPr>
          <w:szCs w:val="20"/>
        </w:rPr>
        <w:t>dicionalmente se supervisó el</w:t>
      </w:r>
      <w:r w:rsidR="00D5584D">
        <w:rPr>
          <w:szCs w:val="20"/>
        </w:rPr>
        <w:t xml:space="preserve"> programa de mantenimiento de</w:t>
      </w:r>
      <w:r w:rsidRPr="00D5584D">
        <w:rPr>
          <w:szCs w:val="20"/>
        </w:rPr>
        <w:t xml:space="preserve"> equipos de proceso y refrigeración de la empresa afiliada Pollos Sello de Oro.</w:t>
      </w:r>
    </w:p>
    <w:p w:rsidR="00E53A6C" w:rsidRDefault="00E53A6C">
      <w:pPr>
        <w:rPr>
          <w:rFonts w:eastAsia="Times New Roman"/>
          <w:b/>
          <w:bCs/>
          <w:color w:val="000000"/>
          <w:sz w:val="20"/>
          <w:szCs w:val="20"/>
          <w:lang w:eastAsia="es-SV"/>
        </w:rPr>
      </w:pPr>
    </w:p>
    <w:p w:rsidR="00E53A6C" w:rsidRPr="00E53A6C" w:rsidRDefault="00E53A6C">
      <w:pPr>
        <w:rPr>
          <w:rFonts w:eastAsia="Times New Roman"/>
          <w:b/>
          <w:bCs/>
          <w:color w:val="000000"/>
          <w:sz w:val="20"/>
          <w:szCs w:val="20"/>
          <w:lang w:eastAsia="es-SV"/>
        </w:rPr>
      </w:pPr>
    </w:p>
    <w:p w:rsidR="00E53A6C" w:rsidRDefault="00E53A6C"/>
    <w:sectPr w:rsidR="00E53A6C" w:rsidSect="00552D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B3F00"/>
    <w:multiLevelType w:val="hybridMultilevel"/>
    <w:tmpl w:val="517C79BE"/>
    <w:lvl w:ilvl="0" w:tplc="E934110A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4B78E2"/>
    <w:rsid w:val="000D45FB"/>
    <w:rsid w:val="00130C0D"/>
    <w:rsid w:val="00251CC9"/>
    <w:rsid w:val="00353F51"/>
    <w:rsid w:val="004B78E2"/>
    <w:rsid w:val="00552D60"/>
    <w:rsid w:val="006D39DF"/>
    <w:rsid w:val="00720F52"/>
    <w:rsid w:val="00862685"/>
    <w:rsid w:val="00A47972"/>
    <w:rsid w:val="00BF17BF"/>
    <w:rsid w:val="00C462D2"/>
    <w:rsid w:val="00D5584D"/>
    <w:rsid w:val="00E53A6C"/>
    <w:rsid w:val="00E81A24"/>
    <w:rsid w:val="00EB1CB9"/>
    <w:rsid w:val="00EB3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D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B3E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EB3E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EB3E98"/>
    <w:rPr>
      <w:i/>
      <w:iCs/>
      <w:color w:val="808080" w:themeColor="text1" w:themeTint="7F"/>
    </w:rPr>
  </w:style>
  <w:style w:type="character" w:styleId="Hipervnculo">
    <w:name w:val="Hyperlink"/>
    <w:basedOn w:val="Fuentedeprrafopredeter"/>
    <w:uiPriority w:val="99"/>
    <w:unhideWhenUsed/>
    <w:rsid w:val="00BF17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B3E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EB3E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EB3E98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nuel.oliva@mag.gob.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930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Usuario</cp:lastModifiedBy>
  <cp:revision>10</cp:revision>
  <dcterms:created xsi:type="dcterms:W3CDTF">2012-05-18T03:48:00Z</dcterms:created>
  <dcterms:modified xsi:type="dcterms:W3CDTF">2016-06-28T19:32:00Z</dcterms:modified>
</cp:coreProperties>
</file>