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B53" w:rsidRDefault="00B22862" w:rsidP="00AC6B53">
      <w:pPr>
        <w:jc w:val="right"/>
        <w:rPr>
          <w:rFonts w:ascii="Arial" w:hAnsi="Arial" w:cs="Arial"/>
          <w:sz w:val="20"/>
          <w:szCs w:val="20"/>
          <w:lang w:val="es-MX"/>
        </w:rPr>
      </w:pPr>
      <w:r>
        <w:rPr>
          <w:lang w:val="es-ES"/>
        </w:rPr>
        <w:t xml:space="preserve">  </w:t>
      </w:r>
      <w:r w:rsidR="00AC6B53">
        <w:rPr>
          <w:rFonts w:ascii="Arial" w:hAnsi="Arial" w:cs="Arial"/>
          <w:sz w:val="20"/>
          <w:szCs w:val="20"/>
          <w:lang w:val="es-MX"/>
        </w:rPr>
        <w:t>Sonsonate Oeste,</w:t>
      </w:r>
      <w:r w:rsidR="00AB18E9">
        <w:rPr>
          <w:rFonts w:ascii="Arial" w:hAnsi="Arial" w:cs="Arial"/>
          <w:sz w:val="20"/>
          <w:szCs w:val="20"/>
          <w:lang w:val="es-MX"/>
        </w:rPr>
        <w:t xml:space="preserve"> Distrito Acajutla 10</w:t>
      </w:r>
      <w:r w:rsidR="006C6584">
        <w:rPr>
          <w:rFonts w:ascii="Arial" w:hAnsi="Arial" w:cs="Arial"/>
          <w:sz w:val="20"/>
          <w:szCs w:val="20"/>
          <w:lang w:val="es-MX"/>
        </w:rPr>
        <w:t xml:space="preserve"> de enero de 2025</w:t>
      </w:r>
      <w:r w:rsidR="00AC6B53">
        <w:rPr>
          <w:rFonts w:ascii="Arial" w:hAnsi="Arial" w:cs="Arial"/>
          <w:sz w:val="20"/>
          <w:szCs w:val="20"/>
          <w:lang w:val="es-MX"/>
        </w:rPr>
        <w:t>.</w:t>
      </w:r>
    </w:p>
    <w:p w:rsidR="00AC6B53" w:rsidRDefault="00AC6B53" w:rsidP="00AC6B53">
      <w:pPr>
        <w:pStyle w:val="Sinespaciado"/>
        <w:rPr>
          <w:b/>
          <w:lang w:val="es-MX"/>
        </w:rPr>
      </w:pPr>
    </w:p>
    <w:p w:rsidR="00AC6B53" w:rsidRPr="004C528A" w:rsidRDefault="003D3216" w:rsidP="00AC6B53">
      <w:pPr>
        <w:pStyle w:val="Sinespaciado"/>
        <w:rPr>
          <w:b/>
          <w:sz w:val="24"/>
          <w:szCs w:val="24"/>
          <w:lang w:val="es-MX"/>
        </w:rPr>
      </w:pPr>
      <w:r>
        <w:rPr>
          <w:b/>
          <w:sz w:val="24"/>
          <w:szCs w:val="24"/>
          <w:lang w:val="es-MX"/>
        </w:rPr>
        <w:t>SR. José Rigoberto Escobar Molina</w:t>
      </w:r>
      <w:r w:rsidR="00AC6B53" w:rsidRPr="004C528A">
        <w:rPr>
          <w:b/>
          <w:sz w:val="24"/>
          <w:szCs w:val="24"/>
          <w:lang w:val="es-MX"/>
        </w:rPr>
        <w:t xml:space="preserve">                                                                 </w:t>
      </w:r>
    </w:p>
    <w:p w:rsidR="00AC6B53" w:rsidRPr="004C528A" w:rsidRDefault="003D3216" w:rsidP="00AC6B53">
      <w:pPr>
        <w:pStyle w:val="Sinespaciado"/>
        <w:rPr>
          <w:b/>
          <w:sz w:val="24"/>
          <w:szCs w:val="24"/>
          <w:lang w:val="es-MX"/>
        </w:rPr>
      </w:pPr>
      <w:r>
        <w:rPr>
          <w:b/>
          <w:sz w:val="24"/>
          <w:szCs w:val="24"/>
          <w:lang w:val="es-MX"/>
        </w:rPr>
        <w:t>Oficial de Información Publica</w:t>
      </w:r>
      <w:r w:rsidR="00AC6B53" w:rsidRPr="004C528A">
        <w:rPr>
          <w:b/>
          <w:sz w:val="24"/>
          <w:szCs w:val="24"/>
          <w:lang w:val="es-MX"/>
        </w:rPr>
        <w:t xml:space="preserve">                                                                          </w:t>
      </w:r>
    </w:p>
    <w:p w:rsidR="00AC6B53" w:rsidRPr="004C528A" w:rsidRDefault="00AC6B53" w:rsidP="00AC6B53">
      <w:pPr>
        <w:pStyle w:val="Sinespaciado"/>
        <w:rPr>
          <w:b/>
          <w:sz w:val="24"/>
          <w:szCs w:val="24"/>
          <w:lang w:val="es-MX"/>
        </w:rPr>
      </w:pPr>
      <w:r w:rsidRPr="004C528A">
        <w:rPr>
          <w:b/>
          <w:sz w:val="24"/>
          <w:szCs w:val="24"/>
          <w:lang w:val="es-MX"/>
        </w:rPr>
        <w:t>Presente.</w:t>
      </w:r>
    </w:p>
    <w:p w:rsidR="00AC6B53" w:rsidRDefault="00AC6B53" w:rsidP="00AC6B53">
      <w:pPr>
        <w:rPr>
          <w:rFonts w:ascii="Arial" w:hAnsi="Arial" w:cs="Arial"/>
          <w:sz w:val="20"/>
          <w:szCs w:val="20"/>
          <w:lang w:val="es-MX"/>
        </w:rPr>
      </w:pPr>
    </w:p>
    <w:p w:rsidR="00307FE0" w:rsidRDefault="003D3216" w:rsidP="00BC2714">
      <w:pPr>
        <w:jc w:val="both"/>
        <w:rPr>
          <w:rFonts w:ascii="Arial" w:hAnsi="Arial" w:cs="Arial"/>
          <w:lang w:val="es-MX"/>
        </w:rPr>
      </w:pPr>
      <w:r>
        <w:rPr>
          <w:rFonts w:ascii="Arial" w:hAnsi="Arial" w:cs="Arial"/>
          <w:lang w:val="es-MX"/>
        </w:rPr>
        <w:t>En base a memorándum con fecha</w:t>
      </w:r>
      <w:r w:rsidR="006C6584">
        <w:rPr>
          <w:rFonts w:ascii="Arial" w:hAnsi="Arial" w:cs="Arial"/>
          <w:lang w:val="es-MX"/>
        </w:rPr>
        <w:t xml:space="preserve"> 07</w:t>
      </w:r>
      <w:r>
        <w:rPr>
          <w:rFonts w:ascii="Arial" w:hAnsi="Arial" w:cs="Arial"/>
          <w:lang w:val="es-MX"/>
        </w:rPr>
        <w:t xml:space="preserve"> de</w:t>
      </w:r>
      <w:r w:rsidR="006C6584">
        <w:rPr>
          <w:rFonts w:ascii="Arial" w:hAnsi="Arial" w:cs="Arial"/>
          <w:lang w:val="es-MX"/>
        </w:rPr>
        <w:t xml:space="preserve"> enero</w:t>
      </w:r>
      <w:r>
        <w:rPr>
          <w:rFonts w:ascii="Arial" w:hAnsi="Arial" w:cs="Arial"/>
          <w:lang w:val="es-MX"/>
        </w:rPr>
        <w:t xml:space="preserve"> del presente año el cual </w:t>
      </w:r>
      <w:r w:rsidR="006C6584">
        <w:rPr>
          <w:rFonts w:ascii="Arial" w:hAnsi="Arial" w:cs="Arial"/>
          <w:lang w:val="es-MX"/>
        </w:rPr>
        <w:t xml:space="preserve">se solicita al </w:t>
      </w:r>
      <w:r>
        <w:rPr>
          <w:rFonts w:ascii="Arial" w:hAnsi="Arial" w:cs="Arial"/>
          <w:lang w:val="es-MX"/>
        </w:rPr>
        <w:t>jefe de proyección social</w:t>
      </w:r>
      <w:r w:rsidR="002678C1">
        <w:rPr>
          <w:rFonts w:ascii="Arial" w:hAnsi="Arial" w:cs="Arial"/>
          <w:lang w:val="es-MX"/>
        </w:rPr>
        <w:t>,</w:t>
      </w:r>
      <w:r>
        <w:rPr>
          <w:rFonts w:ascii="Arial" w:hAnsi="Arial" w:cs="Arial"/>
          <w:lang w:val="es-MX"/>
        </w:rPr>
        <w:t xml:space="preserve"> Anacleto Cuellar </w:t>
      </w:r>
      <w:r w:rsidR="006C6584">
        <w:rPr>
          <w:rFonts w:ascii="Arial" w:hAnsi="Arial" w:cs="Arial"/>
          <w:lang w:val="es-MX"/>
        </w:rPr>
        <w:t>de</w:t>
      </w:r>
      <w:r>
        <w:rPr>
          <w:rFonts w:ascii="Arial" w:hAnsi="Arial" w:cs="Arial"/>
          <w:lang w:val="es-MX"/>
        </w:rPr>
        <w:t xml:space="preserve"> parte de la unidad de acceso a la información pública</w:t>
      </w:r>
      <w:r w:rsidR="006C6584">
        <w:rPr>
          <w:rFonts w:ascii="Arial" w:hAnsi="Arial" w:cs="Arial"/>
          <w:lang w:val="es-MX"/>
        </w:rPr>
        <w:t xml:space="preserve"> </w:t>
      </w:r>
      <w:r w:rsidR="00307FE0">
        <w:rPr>
          <w:rFonts w:ascii="Arial" w:hAnsi="Arial" w:cs="Arial"/>
          <w:lang w:val="es-MX"/>
        </w:rPr>
        <w:t>en el Art. 10, numeral 1 y</w:t>
      </w:r>
      <w:r w:rsidR="006C6584">
        <w:rPr>
          <w:rFonts w:ascii="Arial" w:hAnsi="Arial" w:cs="Arial"/>
          <w:lang w:val="es-MX"/>
        </w:rPr>
        <w:t xml:space="preserve"> numeral 21 en el cual se aplica en el área de trabajo para el cumplimiento de las funciones, en caso de actualizaciones hasta la fecha se hacen saber,</w:t>
      </w:r>
      <w:r w:rsidR="00307FE0">
        <w:rPr>
          <w:rFonts w:ascii="Arial" w:hAnsi="Arial" w:cs="Arial"/>
          <w:lang w:val="es-MX"/>
        </w:rPr>
        <w:t xml:space="preserve"> así como mecanismos de participación ciudadanas.</w:t>
      </w:r>
    </w:p>
    <w:p w:rsidR="004636E6" w:rsidRDefault="00307FE0" w:rsidP="00BC2714">
      <w:pPr>
        <w:jc w:val="both"/>
        <w:rPr>
          <w:rFonts w:ascii="Arial" w:hAnsi="Arial" w:cs="Arial"/>
          <w:lang w:val="es-MX"/>
        </w:rPr>
      </w:pPr>
      <w:r>
        <w:rPr>
          <w:rFonts w:ascii="Arial" w:hAnsi="Arial" w:cs="Arial"/>
          <w:lang w:val="es-MX"/>
        </w:rPr>
        <w:t xml:space="preserve">Por lo </w:t>
      </w:r>
      <w:r w:rsidR="003D3216">
        <w:rPr>
          <w:rFonts w:ascii="Arial" w:hAnsi="Arial" w:cs="Arial"/>
          <w:lang w:val="es-MX"/>
        </w:rPr>
        <w:t xml:space="preserve">que </w:t>
      </w:r>
      <w:r>
        <w:rPr>
          <w:rFonts w:ascii="Arial" w:hAnsi="Arial" w:cs="Arial"/>
          <w:lang w:val="es-MX"/>
        </w:rPr>
        <w:t>hacemos de su conocimiento que como D</w:t>
      </w:r>
      <w:r w:rsidR="006C6584">
        <w:rPr>
          <w:rFonts w:ascii="Arial" w:hAnsi="Arial" w:cs="Arial"/>
          <w:lang w:val="es-MX"/>
        </w:rPr>
        <w:t>epartamento</w:t>
      </w:r>
      <w:r>
        <w:rPr>
          <w:rFonts w:ascii="Arial" w:hAnsi="Arial" w:cs="Arial"/>
          <w:lang w:val="es-MX"/>
        </w:rPr>
        <w:t xml:space="preserve"> en la parte de las asociaciones de desarrollo comunal</w:t>
      </w:r>
      <w:r w:rsidR="006C6584">
        <w:rPr>
          <w:rFonts w:ascii="Arial" w:hAnsi="Arial" w:cs="Arial"/>
          <w:lang w:val="es-MX"/>
        </w:rPr>
        <w:t xml:space="preserve"> </w:t>
      </w:r>
      <w:r>
        <w:rPr>
          <w:rFonts w:ascii="Arial" w:hAnsi="Arial" w:cs="Arial"/>
          <w:lang w:val="es-MX"/>
        </w:rPr>
        <w:t>se encuentra una actualización donde la directiva del CBI Acajutla ha sido disuelta</w:t>
      </w:r>
      <w:r w:rsidR="00D816A6">
        <w:rPr>
          <w:rFonts w:ascii="Arial" w:hAnsi="Arial" w:cs="Arial"/>
          <w:lang w:val="es-MX"/>
        </w:rPr>
        <w:t>, en</w:t>
      </w:r>
      <w:r>
        <w:rPr>
          <w:rFonts w:ascii="Arial" w:hAnsi="Arial" w:cs="Arial"/>
          <w:lang w:val="es-MX"/>
        </w:rPr>
        <w:t xml:space="preserve"> años anteriores</w:t>
      </w:r>
      <w:r w:rsidR="004636E6">
        <w:rPr>
          <w:rFonts w:ascii="Arial" w:hAnsi="Arial" w:cs="Arial"/>
          <w:lang w:val="es-MX"/>
        </w:rPr>
        <w:t>,</w:t>
      </w:r>
      <w:r>
        <w:rPr>
          <w:rFonts w:ascii="Arial" w:hAnsi="Arial" w:cs="Arial"/>
          <w:lang w:val="es-MX"/>
        </w:rPr>
        <w:t xml:space="preserve"> ya que el centro paso hacer institución de gobier</w:t>
      </w:r>
      <w:r w:rsidR="00541D03">
        <w:rPr>
          <w:rFonts w:ascii="Arial" w:hAnsi="Arial" w:cs="Arial"/>
          <w:lang w:val="es-MX"/>
        </w:rPr>
        <w:t>no directamente desde el</w:t>
      </w:r>
      <w:r>
        <w:rPr>
          <w:rFonts w:ascii="Arial" w:hAnsi="Arial" w:cs="Arial"/>
          <w:lang w:val="es-MX"/>
        </w:rPr>
        <w:t xml:space="preserve"> despacho de la primera dama con él </w:t>
      </w:r>
      <w:r w:rsidR="00D816A6">
        <w:rPr>
          <w:rFonts w:ascii="Arial" w:hAnsi="Arial" w:cs="Arial"/>
          <w:lang w:val="es-MX"/>
        </w:rPr>
        <w:t>programa del</w:t>
      </w:r>
      <w:r>
        <w:rPr>
          <w:rFonts w:ascii="Arial" w:hAnsi="Arial" w:cs="Arial"/>
          <w:lang w:val="es-MX"/>
        </w:rPr>
        <w:t xml:space="preserve"> instituto y la ley crecer juntos ya que la institución abastece la parte financiera</w:t>
      </w:r>
      <w:r w:rsidR="00D816A6">
        <w:rPr>
          <w:rFonts w:ascii="Arial" w:hAnsi="Arial" w:cs="Arial"/>
          <w:lang w:val="es-MX"/>
        </w:rPr>
        <w:t xml:space="preserve"> para alimentación y pagos de cuidadoras para los niños y niñas del Centro de Bienestar Infantil </w:t>
      </w:r>
      <w:r>
        <w:rPr>
          <w:rFonts w:ascii="Arial" w:hAnsi="Arial" w:cs="Arial"/>
          <w:lang w:val="es-MX"/>
        </w:rPr>
        <w:t xml:space="preserve"> y la Alcaldía</w:t>
      </w:r>
      <w:r w:rsidR="0065162E">
        <w:rPr>
          <w:rFonts w:ascii="Arial" w:hAnsi="Arial" w:cs="Arial"/>
          <w:lang w:val="es-MX"/>
        </w:rPr>
        <w:t xml:space="preserve"> es el lente administrador</w:t>
      </w:r>
      <w:r w:rsidR="00D816A6">
        <w:rPr>
          <w:rFonts w:ascii="Arial" w:hAnsi="Arial" w:cs="Arial"/>
          <w:lang w:val="es-MX"/>
        </w:rPr>
        <w:t xml:space="preserve"> de los pagos y documentación de asistencia</w:t>
      </w:r>
      <w:r w:rsidR="00541D03">
        <w:rPr>
          <w:rFonts w:ascii="Arial" w:hAnsi="Arial" w:cs="Arial"/>
          <w:lang w:val="es-MX"/>
        </w:rPr>
        <w:t xml:space="preserve"> y proveedor</w:t>
      </w:r>
      <w:r w:rsidR="0065162E">
        <w:rPr>
          <w:rFonts w:ascii="Arial" w:hAnsi="Arial" w:cs="Arial"/>
          <w:lang w:val="es-MX"/>
        </w:rPr>
        <w:t xml:space="preserve">, </w:t>
      </w:r>
    </w:p>
    <w:p w:rsidR="003060EB" w:rsidRDefault="004636E6" w:rsidP="00BC2714">
      <w:pPr>
        <w:jc w:val="both"/>
        <w:rPr>
          <w:rFonts w:ascii="Arial" w:hAnsi="Arial" w:cs="Arial"/>
          <w:lang w:val="es-MX"/>
        </w:rPr>
      </w:pPr>
      <w:r>
        <w:rPr>
          <w:rFonts w:ascii="Arial" w:hAnsi="Arial" w:cs="Arial"/>
          <w:lang w:val="es-MX"/>
        </w:rPr>
        <w:t xml:space="preserve">Por lo que contamos con 140 Asociaciones comunitarias y 23 Asociaciones del </w:t>
      </w:r>
      <w:r w:rsidR="009E37EE">
        <w:rPr>
          <w:rFonts w:ascii="Arial" w:hAnsi="Arial" w:cs="Arial"/>
          <w:lang w:val="es-MX"/>
        </w:rPr>
        <w:t>sistema de abas</w:t>
      </w:r>
      <w:r w:rsidR="002678C1">
        <w:rPr>
          <w:rFonts w:ascii="Arial" w:hAnsi="Arial" w:cs="Arial"/>
          <w:lang w:val="es-MX"/>
        </w:rPr>
        <w:t>tecimiento de agua</w:t>
      </w:r>
      <w:r w:rsidR="00541D03">
        <w:rPr>
          <w:rFonts w:ascii="Arial" w:hAnsi="Arial" w:cs="Arial"/>
          <w:lang w:val="es-MX"/>
        </w:rPr>
        <w:t xml:space="preserve"> potable</w:t>
      </w:r>
      <w:r w:rsidR="003060EB">
        <w:rPr>
          <w:rFonts w:ascii="Arial" w:hAnsi="Arial" w:cs="Arial"/>
          <w:lang w:val="es-MX"/>
        </w:rPr>
        <w:t xml:space="preserve"> en Sonsonate Oeste Distrito de Acajutla</w:t>
      </w:r>
    </w:p>
    <w:p w:rsidR="004A3A31" w:rsidRDefault="002678C1" w:rsidP="00BC2714">
      <w:pPr>
        <w:jc w:val="both"/>
        <w:rPr>
          <w:rFonts w:ascii="Arial" w:hAnsi="Arial" w:cs="Arial"/>
          <w:lang w:val="es-MX"/>
        </w:rPr>
      </w:pPr>
      <w:r>
        <w:rPr>
          <w:rFonts w:ascii="Arial" w:hAnsi="Arial" w:cs="Arial"/>
          <w:lang w:val="es-MX"/>
        </w:rPr>
        <w:t xml:space="preserve"> del Distrito Acajutla</w:t>
      </w:r>
      <w:r w:rsidR="009E37EE">
        <w:rPr>
          <w:rFonts w:ascii="Arial" w:hAnsi="Arial" w:cs="Arial"/>
          <w:lang w:val="es-MX"/>
        </w:rPr>
        <w:t>, como trabajo y funciones del Departamento de Proyección Social y detallo todo el mecanismo de participación ciudadana en lo que también se trabaja como Departamento de Proyección Social conforme artículos y marcos legales.</w:t>
      </w:r>
    </w:p>
    <w:p w:rsidR="009E37EE" w:rsidRDefault="009E37EE" w:rsidP="00BC2714">
      <w:pPr>
        <w:jc w:val="both"/>
        <w:rPr>
          <w:rFonts w:ascii="Arial" w:hAnsi="Arial" w:cs="Arial"/>
          <w:lang w:val="es-MX"/>
        </w:rPr>
      </w:pPr>
      <w:r>
        <w:rPr>
          <w:rFonts w:ascii="Arial" w:hAnsi="Arial" w:cs="Arial"/>
          <w:lang w:val="es-MX"/>
        </w:rPr>
        <w:t>primero que dentro de los mecanismos legales de funcionamientos del Departamento de Proyección Social se encuentran los siguientes: Códigos Municipales, en los artículos, 115 al 125, que habla del mecanismo legal de la participación ciudadana, la función del Departamento de Proyección Social</w:t>
      </w:r>
      <w:r w:rsidR="000F1754">
        <w:rPr>
          <w:rFonts w:ascii="Arial" w:hAnsi="Arial" w:cs="Arial"/>
          <w:lang w:val="es-MX"/>
        </w:rPr>
        <w:t xml:space="preserve">, </w:t>
      </w:r>
      <w:r w:rsidR="003060EB">
        <w:rPr>
          <w:rFonts w:ascii="Arial" w:hAnsi="Arial" w:cs="Arial"/>
          <w:lang w:val="es-MX"/>
        </w:rPr>
        <w:t>así</w:t>
      </w:r>
      <w:r w:rsidR="000F1754">
        <w:rPr>
          <w:rFonts w:ascii="Arial" w:hAnsi="Arial" w:cs="Arial"/>
          <w:lang w:val="es-MX"/>
        </w:rPr>
        <w:t xml:space="preserve"> mismo existen otros aspectos legales, como las mesas sectoriales, asambleas generales y asociaciones de personas que residen en los EE. UU (diáspora) todo en el marco regulado en el manual de funciones y mecanismo de participación (el consejo </w:t>
      </w:r>
      <w:r w:rsidR="00C36D06">
        <w:rPr>
          <w:rFonts w:ascii="Arial" w:hAnsi="Arial" w:cs="Arial"/>
          <w:lang w:val="es-MX"/>
        </w:rPr>
        <w:t>está</w:t>
      </w:r>
      <w:r w:rsidR="000F1754">
        <w:rPr>
          <w:rFonts w:ascii="Arial" w:hAnsi="Arial" w:cs="Arial"/>
          <w:lang w:val="es-MX"/>
        </w:rPr>
        <w:t xml:space="preserve"> obligado </w:t>
      </w:r>
      <w:r w:rsidR="00C36D06">
        <w:rPr>
          <w:rFonts w:ascii="Arial" w:hAnsi="Arial" w:cs="Arial"/>
          <w:lang w:val="es-MX"/>
        </w:rPr>
        <w:t>a promover la participación ciudadana).</w:t>
      </w:r>
    </w:p>
    <w:p w:rsidR="00C36D06" w:rsidRDefault="00C36D06" w:rsidP="00BC2714">
      <w:pPr>
        <w:jc w:val="both"/>
        <w:rPr>
          <w:rFonts w:ascii="Arial" w:hAnsi="Arial" w:cs="Arial"/>
          <w:lang w:val="es-MX"/>
        </w:rPr>
      </w:pPr>
      <w:r>
        <w:rPr>
          <w:rFonts w:ascii="Arial" w:hAnsi="Arial" w:cs="Arial"/>
          <w:lang w:val="es-MX"/>
        </w:rPr>
        <w:t>Segundo: los mecanismos de participación ciudadana y rendición de cuenta son los siguientes:</w:t>
      </w:r>
    </w:p>
    <w:p w:rsidR="00C36D06" w:rsidRDefault="00C36D06" w:rsidP="00BC2714">
      <w:pPr>
        <w:jc w:val="both"/>
        <w:rPr>
          <w:rFonts w:ascii="Arial" w:hAnsi="Arial" w:cs="Arial"/>
          <w:lang w:val="es-MX"/>
        </w:rPr>
      </w:pPr>
      <w:r>
        <w:rPr>
          <w:rFonts w:ascii="Arial" w:hAnsi="Arial" w:cs="Arial"/>
          <w:lang w:val="es-MX"/>
        </w:rPr>
        <w:t>Asociaciones de Desarrollo Comunal: son las personas Organizadas con su personalidad jurídica que los respalda y hace constar que trabajan para el desarrollo de</w:t>
      </w:r>
      <w:r w:rsidR="003060EB">
        <w:rPr>
          <w:rFonts w:ascii="Arial" w:hAnsi="Arial" w:cs="Arial"/>
          <w:lang w:val="es-MX"/>
        </w:rPr>
        <w:t xml:space="preserve"> su comunidad.</w:t>
      </w:r>
    </w:p>
    <w:p w:rsidR="00C36D06" w:rsidRDefault="00C36D06" w:rsidP="00BC2714">
      <w:pPr>
        <w:jc w:val="both"/>
        <w:rPr>
          <w:rFonts w:ascii="Arial" w:hAnsi="Arial" w:cs="Arial"/>
          <w:lang w:val="es-MX"/>
        </w:rPr>
      </w:pPr>
      <w:r>
        <w:rPr>
          <w:rFonts w:ascii="Arial" w:hAnsi="Arial" w:cs="Arial"/>
          <w:lang w:val="es-MX"/>
        </w:rPr>
        <w:t>Asociaciones</w:t>
      </w:r>
      <w:r w:rsidR="002678C1">
        <w:rPr>
          <w:rFonts w:ascii="Arial" w:hAnsi="Arial" w:cs="Arial"/>
          <w:lang w:val="es-MX"/>
        </w:rPr>
        <w:t>:</w:t>
      </w:r>
      <w:r>
        <w:rPr>
          <w:rFonts w:ascii="Arial" w:hAnsi="Arial" w:cs="Arial"/>
          <w:lang w:val="es-MX"/>
        </w:rPr>
        <w:t xml:space="preserve"> Administradoras de sistemas de Abastecimiento de Agua Potable: son las personas organizadas y legalizadas con su personalidad jurídica que trabajan para el buen funcionamiento del proyecto de agua potable en cada una de las comunidades, también tienen como responsabilidad a ayudar a las madres solteras de escasos recursos, a las </w:t>
      </w:r>
      <w:r>
        <w:rPr>
          <w:rFonts w:ascii="Arial" w:hAnsi="Arial" w:cs="Arial"/>
          <w:lang w:val="es-MX"/>
        </w:rPr>
        <w:lastRenderedPageBreak/>
        <w:t>personas de la tercera edad que no cuentan con un apoyo u otras neces</w:t>
      </w:r>
      <w:r w:rsidR="003060EB">
        <w:rPr>
          <w:rFonts w:ascii="Arial" w:hAnsi="Arial" w:cs="Arial"/>
          <w:lang w:val="es-MX"/>
        </w:rPr>
        <w:t>idades latentes de la comunidad.</w:t>
      </w:r>
    </w:p>
    <w:p w:rsidR="00EA7151" w:rsidRDefault="00847DC4" w:rsidP="00BC2714">
      <w:pPr>
        <w:jc w:val="both"/>
        <w:rPr>
          <w:rFonts w:ascii="Arial" w:hAnsi="Arial" w:cs="Arial"/>
          <w:lang w:val="es-MX"/>
        </w:rPr>
      </w:pPr>
      <w:r>
        <w:rPr>
          <w:rFonts w:ascii="Arial" w:hAnsi="Arial" w:cs="Arial"/>
          <w:lang w:val="es-MX"/>
        </w:rPr>
        <w:t xml:space="preserve">Realización de </w:t>
      </w:r>
      <w:r w:rsidR="00DA70D0">
        <w:rPr>
          <w:rFonts w:ascii="Arial" w:hAnsi="Arial" w:cs="Arial"/>
          <w:lang w:val="es-MX"/>
        </w:rPr>
        <w:t>mesas intersectoriales: mesa de agricultores, mesa de medio ambiente, mesa de seguridad ciudadana, mesa de pescadores, mesa de educación y mesa de atención a la diáspora, contamos</w:t>
      </w:r>
      <w:r>
        <w:rPr>
          <w:rFonts w:ascii="Arial" w:hAnsi="Arial" w:cs="Arial"/>
          <w:lang w:val="es-MX"/>
        </w:rPr>
        <w:t xml:space="preserve"> con</w:t>
      </w:r>
      <w:r w:rsidR="00DA70D0">
        <w:rPr>
          <w:rFonts w:ascii="Arial" w:hAnsi="Arial" w:cs="Arial"/>
          <w:lang w:val="es-MX"/>
        </w:rPr>
        <w:t xml:space="preserve"> </w:t>
      </w:r>
      <w:r>
        <w:rPr>
          <w:rFonts w:ascii="Arial" w:hAnsi="Arial" w:cs="Arial"/>
          <w:lang w:val="es-MX"/>
        </w:rPr>
        <w:t xml:space="preserve">noventa y un </w:t>
      </w:r>
      <w:r w:rsidR="00DA70D0">
        <w:rPr>
          <w:rFonts w:ascii="Arial" w:hAnsi="Arial" w:cs="Arial"/>
          <w:lang w:val="es-MX"/>
        </w:rPr>
        <w:t>caseríos en la zona rural y cuarenta y nueve en la Zona Urbana entre estas están colonias y barrios, esto</w:t>
      </w:r>
      <w:r>
        <w:rPr>
          <w:rFonts w:ascii="Arial" w:hAnsi="Arial" w:cs="Arial"/>
          <w:lang w:val="es-MX"/>
        </w:rPr>
        <w:t xml:space="preserve"> lo tenemos dividido en 4 zonas:</w:t>
      </w:r>
    </w:p>
    <w:p w:rsidR="00DA70D0" w:rsidRDefault="00BA1EFB" w:rsidP="00BC2714">
      <w:pPr>
        <w:pStyle w:val="Prrafodelista"/>
        <w:numPr>
          <w:ilvl w:val="0"/>
          <w:numId w:val="2"/>
        </w:numPr>
        <w:jc w:val="both"/>
        <w:rPr>
          <w:rFonts w:ascii="Arial" w:hAnsi="Arial" w:cs="Arial"/>
          <w:b/>
          <w:sz w:val="28"/>
          <w:szCs w:val="28"/>
          <w:lang w:val="es-MX"/>
        </w:rPr>
      </w:pPr>
      <w:r>
        <w:rPr>
          <w:rFonts w:ascii="Arial" w:hAnsi="Arial" w:cs="Arial"/>
          <w:b/>
          <w:sz w:val="28"/>
          <w:szCs w:val="28"/>
          <w:lang w:val="es-MX"/>
        </w:rPr>
        <w:t>Zona 1 C</w:t>
      </w:r>
      <w:r w:rsidR="00DA70D0" w:rsidRPr="00DA70D0">
        <w:rPr>
          <w:rFonts w:ascii="Arial" w:hAnsi="Arial" w:cs="Arial"/>
          <w:b/>
          <w:sz w:val="28"/>
          <w:szCs w:val="28"/>
          <w:lang w:val="es-MX"/>
        </w:rPr>
        <w:t>asco Urbano</w:t>
      </w:r>
      <w:r w:rsidR="00847DC4">
        <w:rPr>
          <w:rFonts w:ascii="Arial" w:hAnsi="Arial" w:cs="Arial"/>
          <w:b/>
          <w:sz w:val="28"/>
          <w:szCs w:val="28"/>
          <w:lang w:val="es-MX"/>
        </w:rPr>
        <w:t xml:space="preserve">                                                        49            </w:t>
      </w:r>
    </w:p>
    <w:p w:rsidR="00DA70D0" w:rsidRDefault="00BA1EFB" w:rsidP="00BC2714">
      <w:pPr>
        <w:pStyle w:val="Prrafodelista"/>
        <w:numPr>
          <w:ilvl w:val="0"/>
          <w:numId w:val="2"/>
        </w:numPr>
        <w:jc w:val="both"/>
        <w:rPr>
          <w:rFonts w:ascii="Arial" w:hAnsi="Arial" w:cs="Arial"/>
          <w:b/>
          <w:sz w:val="28"/>
          <w:szCs w:val="28"/>
          <w:lang w:val="es-MX"/>
        </w:rPr>
      </w:pPr>
      <w:r>
        <w:rPr>
          <w:rFonts w:ascii="Arial" w:hAnsi="Arial" w:cs="Arial"/>
          <w:b/>
          <w:sz w:val="28"/>
          <w:szCs w:val="28"/>
          <w:lang w:val="es-MX"/>
        </w:rPr>
        <w:t xml:space="preserve">Zona 2 Cantón </w:t>
      </w:r>
      <w:r w:rsidR="00847DC4">
        <w:rPr>
          <w:rFonts w:ascii="Arial" w:hAnsi="Arial" w:cs="Arial"/>
          <w:b/>
          <w:sz w:val="28"/>
          <w:szCs w:val="28"/>
          <w:lang w:val="es-MX"/>
        </w:rPr>
        <w:t>Metalío                                                       36</w:t>
      </w:r>
    </w:p>
    <w:p w:rsidR="00DA70D0" w:rsidRDefault="00DA70D0" w:rsidP="00BC2714">
      <w:pPr>
        <w:pStyle w:val="Prrafodelista"/>
        <w:numPr>
          <w:ilvl w:val="0"/>
          <w:numId w:val="2"/>
        </w:numPr>
        <w:jc w:val="both"/>
        <w:rPr>
          <w:rFonts w:ascii="Arial" w:hAnsi="Arial" w:cs="Arial"/>
          <w:b/>
          <w:sz w:val="28"/>
          <w:szCs w:val="28"/>
          <w:lang w:val="es-MX"/>
        </w:rPr>
      </w:pPr>
      <w:r>
        <w:rPr>
          <w:rFonts w:ascii="Arial" w:hAnsi="Arial" w:cs="Arial"/>
          <w:b/>
          <w:sz w:val="28"/>
          <w:szCs w:val="28"/>
          <w:lang w:val="es-MX"/>
        </w:rPr>
        <w:t xml:space="preserve">Zona 3 Cantón Suncita, </w:t>
      </w:r>
      <w:r w:rsidR="00BA1EFB">
        <w:rPr>
          <w:rFonts w:ascii="Arial" w:hAnsi="Arial" w:cs="Arial"/>
          <w:b/>
          <w:sz w:val="28"/>
          <w:szCs w:val="28"/>
          <w:lang w:val="es-MX"/>
        </w:rPr>
        <w:t>Morro Grande y Santa Rosa</w:t>
      </w:r>
      <w:r w:rsidR="00847DC4">
        <w:rPr>
          <w:rFonts w:ascii="Arial" w:hAnsi="Arial" w:cs="Arial"/>
          <w:b/>
          <w:sz w:val="28"/>
          <w:szCs w:val="28"/>
          <w:lang w:val="es-MX"/>
        </w:rPr>
        <w:t xml:space="preserve">     21</w:t>
      </w:r>
    </w:p>
    <w:p w:rsidR="00BA1EFB" w:rsidRDefault="00BA1EFB" w:rsidP="00BC2714">
      <w:pPr>
        <w:pStyle w:val="Prrafodelista"/>
        <w:numPr>
          <w:ilvl w:val="0"/>
          <w:numId w:val="2"/>
        </w:numPr>
        <w:jc w:val="both"/>
        <w:rPr>
          <w:rFonts w:ascii="Arial" w:hAnsi="Arial" w:cs="Arial"/>
          <w:b/>
          <w:sz w:val="28"/>
          <w:szCs w:val="28"/>
          <w:lang w:val="es-MX"/>
        </w:rPr>
      </w:pPr>
      <w:r>
        <w:rPr>
          <w:rFonts w:ascii="Arial" w:hAnsi="Arial" w:cs="Arial"/>
          <w:b/>
          <w:sz w:val="28"/>
          <w:szCs w:val="28"/>
          <w:lang w:val="es-MX"/>
        </w:rPr>
        <w:t>Zona 4 Cantón San Julián y Punta Remedios</w:t>
      </w:r>
      <w:r w:rsidR="00847DC4">
        <w:rPr>
          <w:rFonts w:ascii="Arial" w:hAnsi="Arial" w:cs="Arial"/>
          <w:b/>
          <w:sz w:val="28"/>
          <w:szCs w:val="28"/>
          <w:lang w:val="es-MX"/>
        </w:rPr>
        <w:t xml:space="preserve">                 34</w:t>
      </w:r>
    </w:p>
    <w:p w:rsidR="00847DC4" w:rsidRDefault="00847DC4" w:rsidP="00BC2714">
      <w:pPr>
        <w:pStyle w:val="Prrafodelista"/>
        <w:numPr>
          <w:ilvl w:val="0"/>
          <w:numId w:val="2"/>
        </w:numPr>
        <w:jc w:val="both"/>
        <w:rPr>
          <w:rFonts w:ascii="Arial" w:hAnsi="Arial" w:cs="Arial"/>
          <w:b/>
          <w:sz w:val="28"/>
          <w:szCs w:val="28"/>
          <w:lang w:val="es-MX"/>
        </w:rPr>
      </w:pPr>
      <w:r>
        <w:rPr>
          <w:rFonts w:ascii="Arial" w:hAnsi="Arial" w:cs="Arial"/>
          <w:b/>
          <w:sz w:val="28"/>
          <w:szCs w:val="28"/>
          <w:lang w:val="es-MX"/>
        </w:rPr>
        <w:t>Juntas de agua potable                                                     23</w:t>
      </w:r>
    </w:p>
    <w:p w:rsidR="008626F6" w:rsidRPr="00227050" w:rsidRDefault="00BA1EFB" w:rsidP="00BC2714">
      <w:pPr>
        <w:jc w:val="both"/>
        <w:rPr>
          <w:rFonts w:ascii="Arial" w:hAnsi="Arial" w:cs="Arial"/>
          <w:lang w:val="es-MX"/>
        </w:rPr>
      </w:pPr>
      <w:r w:rsidRPr="00227050">
        <w:rPr>
          <w:rFonts w:ascii="Arial" w:hAnsi="Arial" w:cs="Arial"/>
          <w:lang w:val="es-MX"/>
        </w:rPr>
        <w:t>Así mismo estas asociaciones se reúnen una vez por mes o cuando sea necesario, con la presencia Municipal, es dos veces al año según el capítulo 5 artículo 11, de los estatutos de las asociaciones, pero si no se reúnen frecuentemente pierden el entusiasmo como directiva y del trabajo hacia la comunidad que pertenecen al igual a la participación ciudadana se desmotivan</w:t>
      </w:r>
      <w:r w:rsidR="008626F6" w:rsidRPr="00227050">
        <w:rPr>
          <w:rFonts w:ascii="Arial" w:hAnsi="Arial" w:cs="Arial"/>
          <w:lang w:val="es-MX"/>
        </w:rPr>
        <w:t>.</w:t>
      </w:r>
    </w:p>
    <w:p w:rsidR="008626F6" w:rsidRPr="00227050" w:rsidRDefault="008626F6" w:rsidP="00BC2714">
      <w:pPr>
        <w:jc w:val="both"/>
        <w:rPr>
          <w:rFonts w:ascii="Arial" w:hAnsi="Arial" w:cs="Arial"/>
          <w:lang w:val="es-MX"/>
        </w:rPr>
      </w:pPr>
      <w:r w:rsidRPr="00227050">
        <w:rPr>
          <w:rFonts w:ascii="Arial" w:hAnsi="Arial" w:cs="Arial"/>
          <w:lang w:val="es-MX"/>
        </w:rPr>
        <w:t>Al igual con las Juntas del Sistema de Agua Potable. Todas estas</w:t>
      </w:r>
      <w:r w:rsidR="001A083A">
        <w:rPr>
          <w:rFonts w:ascii="Arial" w:hAnsi="Arial" w:cs="Arial"/>
          <w:lang w:val="es-MX"/>
        </w:rPr>
        <w:t xml:space="preserve"> asociaciones deben de presentar</w:t>
      </w:r>
      <w:r w:rsidRPr="00227050">
        <w:rPr>
          <w:rFonts w:ascii="Arial" w:hAnsi="Arial" w:cs="Arial"/>
          <w:lang w:val="es-MX"/>
        </w:rPr>
        <w:t xml:space="preserve"> la nomina de la junta directiva al Departamento de Proyección Social</w:t>
      </w:r>
      <w:r w:rsidR="001A083A">
        <w:rPr>
          <w:rFonts w:ascii="Arial" w:hAnsi="Arial" w:cs="Arial"/>
          <w:lang w:val="es-MX"/>
        </w:rPr>
        <w:t>,</w:t>
      </w:r>
      <w:r w:rsidRPr="00227050">
        <w:rPr>
          <w:rFonts w:ascii="Arial" w:hAnsi="Arial" w:cs="Arial"/>
          <w:lang w:val="es-MX"/>
        </w:rPr>
        <w:t xml:space="preserve"> las Primeras dos Semanas del mes de enero.</w:t>
      </w:r>
      <w:bookmarkStart w:id="0" w:name="_GoBack"/>
      <w:bookmarkEnd w:id="0"/>
    </w:p>
    <w:p w:rsidR="00BA1EFB" w:rsidRDefault="008626F6" w:rsidP="00BC2714">
      <w:pPr>
        <w:jc w:val="both"/>
        <w:rPr>
          <w:rFonts w:ascii="Arial" w:hAnsi="Arial" w:cs="Arial"/>
          <w:lang w:val="es-MX"/>
        </w:rPr>
      </w:pPr>
      <w:r w:rsidRPr="00227050">
        <w:rPr>
          <w:rFonts w:ascii="Arial" w:hAnsi="Arial" w:cs="Arial"/>
          <w:lang w:val="es-MX"/>
        </w:rPr>
        <w:t>En lo que concierne a la participación Ciudadana, se realizan reuniones informativas, asambleas generales, reuniones con Junta Directiva, así mismo seguimiento y acompañamiento a programas y proyectos de diferentes instituciones que estén participando en la Alcaldía Municipal, de igual forma se le apoya con las gestiones de escrituras</w:t>
      </w:r>
      <w:r w:rsidR="00227050" w:rsidRPr="00227050">
        <w:rPr>
          <w:rFonts w:ascii="Arial" w:hAnsi="Arial" w:cs="Arial"/>
          <w:lang w:val="es-MX"/>
        </w:rPr>
        <w:t xml:space="preserve"> con coordinación de la compañera Amelia Esperanza Cruz a</w:t>
      </w:r>
      <w:r w:rsidRPr="00227050">
        <w:rPr>
          <w:rFonts w:ascii="Arial" w:hAnsi="Arial" w:cs="Arial"/>
          <w:lang w:val="es-MX"/>
        </w:rPr>
        <w:t xml:space="preserve"> las personas con problemas legales o inconvenientes con lotificadoras</w:t>
      </w:r>
      <w:r w:rsidR="00227050" w:rsidRPr="00227050">
        <w:rPr>
          <w:rFonts w:ascii="Arial" w:hAnsi="Arial" w:cs="Arial"/>
          <w:lang w:val="es-MX"/>
        </w:rPr>
        <w:t xml:space="preserve"> con la documentación legal. Todo esto se realiza con apoyo</w:t>
      </w:r>
      <w:r w:rsidR="00227050">
        <w:rPr>
          <w:rFonts w:ascii="Arial" w:hAnsi="Arial" w:cs="Arial"/>
          <w:lang w:val="es-MX"/>
        </w:rPr>
        <w:t xml:space="preserve"> de diferentes Instituciones tales como:</w:t>
      </w:r>
      <w:r w:rsidR="00227050" w:rsidRPr="00227050">
        <w:rPr>
          <w:rFonts w:ascii="Arial" w:hAnsi="Arial" w:cs="Arial"/>
          <w:lang w:val="es-MX"/>
        </w:rPr>
        <w:t xml:space="preserve"> </w:t>
      </w:r>
      <w:r w:rsidR="00227050" w:rsidRPr="00227050">
        <w:rPr>
          <w:rFonts w:ascii="Arial" w:hAnsi="Arial" w:cs="Arial"/>
          <w:b/>
          <w:lang w:val="es-MX"/>
        </w:rPr>
        <w:t>Defensoría del Consumidor, Fiscalía, Ministerio de Vivienda, CNR, y cuando son Asociaciones Administradoras de sistema de Agua Potable se soluciona con la ayuda de la Autoridad Salvadoreña del Agua (ASA)</w:t>
      </w:r>
      <w:r w:rsidR="00227050" w:rsidRPr="00227050">
        <w:rPr>
          <w:rFonts w:ascii="Arial" w:hAnsi="Arial" w:cs="Arial"/>
          <w:lang w:val="es-MX"/>
        </w:rPr>
        <w:t xml:space="preserve"> todo esto se realiza en el Departamento de Proyección Social se realiza con el objetivo de fomentar la participación ciudadana en todo el Distrito de Acajutla, por medio de los mecanismos ante mencionados </w:t>
      </w:r>
    </w:p>
    <w:p w:rsidR="00247363" w:rsidRDefault="00847DC4" w:rsidP="00BC2714">
      <w:pPr>
        <w:jc w:val="both"/>
        <w:rPr>
          <w:rFonts w:ascii="Arial" w:hAnsi="Arial" w:cs="Arial"/>
          <w:lang w:val="es-MX"/>
        </w:rPr>
      </w:pPr>
      <w:r>
        <w:rPr>
          <w:rFonts w:ascii="Arial" w:hAnsi="Arial" w:cs="Arial"/>
          <w:lang w:val="es-MX"/>
        </w:rPr>
        <w:t xml:space="preserve">En el año 2024 se realizaron participaciones ciudadanas </w:t>
      </w:r>
      <w:r w:rsidR="00247363">
        <w:rPr>
          <w:rFonts w:ascii="Arial" w:hAnsi="Arial" w:cs="Arial"/>
          <w:lang w:val="es-MX"/>
        </w:rPr>
        <w:t xml:space="preserve">realizando </w:t>
      </w:r>
      <w:r w:rsidR="00E81EE3">
        <w:rPr>
          <w:rFonts w:ascii="Arial" w:hAnsi="Arial" w:cs="Arial"/>
          <w:lang w:val="es-MX"/>
        </w:rPr>
        <w:t>diferentes asambleas</w:t>
      </w:r>
      <w:r w:rsidR="00247363">
        <w:rPr>
          <w:rFonts w:ascii="Arial" w:hAnsi="Arial" w:cs="Arial"/>
          <w:lang w:val="es-MX"/>
        </w:rPr>
        <w:t xml:space="preserve"> generares de elecciones de </w:t>
      </w:r>
      <w:r w:rsidR="00E81EE3">
        <w:rPr>
          <w:rFonts w:ascii="Arial" w:hAnsi="Arial" w:cs="Arial"/>
          <w:lang w:val="es-MX"/>
        </w:rPr>
        <w:t>nuevas juntas</w:t>
      </w:r>
      <w:r w:rsidR="00247363">
        <w:rPr>
          <w:rFonts w:ascii="Arial" w:hAnsi="Arial" w:cs="Arial"/>
          <w:lang w:val="es-MX"/>
        </w:rPr>
        <w:t xml:space="preserve"> directiva, asambleas para coordinar diferentes proyectos de beneficio para los habitantes de las comunidades ya sea monetaria como avícola donde se realizaron diferentes</w:t>
      </w:r>
      <w:r>
        <w:rPr>
          <w:rFonts w:ascii="Arial" w:hAnsi="Arial" w:cs="Arial"/>
          <w:lang w:val="es-MX"/>
        </w:rPr>
        <w:t xml:space="preserve"> proyectos </w:t>
      </w:r>
      <w:r w:rsidR="00053249">
        <w:rPr>
          <w:rFonts w:ascii="Arial" w:hAnsi="Arial" w:cs="Arial"/>
          <w:lang w:val="es-MX"/>
        </w:rPr>
        <w:t xml:space="preserve">junto con secretaria de integración proyectos de gallinas ponedoras en diferentes comunidades del sector rural para el desarrollo de las comunidades, </w:t>
      </w:r>
    </w:p>
    <w:p w:rsidR="00847DC4" w:rsidRDefault="00247363" w:rsidP="00BC2714">
      <w:pPr>
        <w:jc w:val="both"/>
        <w:rPr>
          <w:rFonts w:ascii="Arial" w:hAnsi="Arial" w:cs="Arial"/>
          <w:lang w:val="es-MX"/>
        </w:rPr>
      </w:pPr>
      <w:r>
        <w:rPr>
          <w:rFonts w:ascii="Arial" w:hAnsi="Arial" w:cs="Arial"/>
          <w:lang w:val="es-MX"/>
        </w:rPr>
        <w:lastRenderedPageBreak/>
        <w:t>A</w:t>
      </w:r>
      <w:r w:rsidR="00053249">
        <w:rPr>
          <w:rFonts w:ascii="Arial" w:hAnsi="Arial" w:cs="Arial"/>
          <w:lang w:val="es-MX"/>
        </w:rPr>
        <w:t xml:space="preserve">sí como también se coordinó </w:t>
      </w:r>
      <w:r>
        <w:rPr>
          <w:rFonts w:ascii="Arial" w:hAnsi="Arial" w:cs="Arial"/>
          <w:lang w:val="es-MX"/>
        </w:rPr>
        <w:t xml:space="preserve">diferentes asambleas generales y reuniones en diferentes sectores del Distrito de Acajutla en coordinación </w:t>
      </w:r>
      <w:r w:rsidR="00053249">
        <w:rPr>
          <w:rFonts w:ascii="Arial" w:hAnsi="Arial" w:cs="Arial"/>
          <w:lang w:val="es-MX"/>
        </w:rPr>
        <w:t xml:space="preserve">con el PMA </w:t>
      </w:r>
      <w:r>
        <w:rPr>
          <w:rFonts w:ascii="Arial" w:hAnsi="Arial" w:cs="Arial"/>
          <w:lang w:val="es-MX"/>
        </w:rPr>
        <w:t>para beneficiar con</w:t>
      </w:r>
      <w:r w:rsidR="00053249">
        <w:rPr>
          <w:rFonts w:ascii="Arial" w:hAnsi="Arial" w:cs="Arial"/>
          <w:lang w:val="es-MX"/>
        </w:rPr>
        <w:t xml:space="preserve"> bono</w:t>
      </w:r>
      <w:r>
        <w:rPr>
          <w:rFonts w:ascii="Arial" w:hAnsi="Arial" w:cs="Arial"/>
          <w:lang w:val="es-MX"/>
        </w:rPr>
        <w:t>s</w:t>
      </w:r>
      <w:r w:rsidR="00053249">
        <w:rPr>
          <w:rFonts w:ascii="Arial" w:hAnsi="Arial" w:cs="Arial"/>
          <w:lang w:val="es-MX"/>
        </w:rPr>
        <w:t xml:space="preserve"> de $300 a diferentes personas más necesitadas de las comunidades del Distrito Acajutla</w:t>
      </w:r>
      <w:r>
        <w:rPr>
          <w:rFonts w:ascii="Arial" w:hAnsi="Arial" w:cs="Arial"/>
          <w:lang w:val="es-MX"/>
        </w:rPr>
        <w:t xml:space="preserve"> en donde se </w:t>
      </w:r>
      <w:r w:rsidR="00E07338">
        <w:rPr>
          <w:rFonts w:ascii="Arial" w:hAnsi="Arial" w:cs="Arial"/>
          <w:lang w:val="es-MX"/>
        </w:rPr>
        <w:t>digitalizaron</w:t>
      </w:r>
      <w:r w:rsidR="00823B6D">
        <w:rPr>
          <w:rFonts w:ascii="Arial" w:hAnsi="Arial" w:cs="Arial"/>
          <w:lang w:val="es-MX"/>
        </w:rPr>
        <w:t xml:space="preserve"> diferentes listados y </w:t>
      </w:r>
      <w:r w:rsidR="00E07338">
        <w:rPr>
          <w:rFonts w:ascii="Arial" w:hAnsi="Arial" w:cs="Arial"/>
          <w:lang w:val="es-MX"/>
        </w:rPr>
        <w:t>localización de las personas beneficiadas del programa</w:t>
      </w:r>
      <w:r>
        <w:rPr>
          <w:rFonts w:ascii="Arial" w:hAnsi="Arial" w:cs="Arial"/>
          <w:lang w:val="es-MX"/>
        </w:rPr>
        <w:t>.</w:t>
      </w:r>
    </w:p>
    <w:p w:rsidR="00BC2714" w:rsidRDefault="00AB18E9" w:rsidP="00BC2714">
      <w:pPr>
        <w:jc w:val="both"/>
        <w:rPr>
          <w:rFonts w:ascii="Arial" w:hAnsi="Arial" w:cs="Arial"/>
          <w:lang w:val="es-MX"/>
        </w:rPr>
      </w:pPr>
      <w:r>
        <w:rPr>
          <w:rFonts w:ascii="Arial" w:hAnsi="Arial" w:cs="Arial"/>
          <w:lang w:val="es-MX"/>
        </w:rPr>
        <w:t xml:space="preserve">En el mes de octubre se realizan las </w:t>
      </w:r>
      <w:r w:rsidR="00BC2714">
        <w:rPr>
          <w:rFonts w:ascii="Arial" w:hAnsi="Arial" w:cs="Arial"/>
          <w:lang w:val="es-MX"/>
        </w:rPr>
        <w:t xml:space="preserve">celebraciones del día del niño </w:t>
      </w:r>
      <w:r>
        <w:rPr>
          <w:rFonts w:ascii="Arial" w:hAnsi="Arial" w:cs="Arial"/>
          <w:lang w:val="es-MX"/>
        </w:rPr>
        <w:t xml:space="preserve">se dividen en 2 sectores </w:t>
      </w:r>
      <w:r w:rsidR="00BC2714">
        <w:rPr>
          <w:rFonts w:ascii="Arial" w:hAnsi="Arial" w:cs="Arial"/>
          <w:lang w:val="es-MX"/>
        </w:rPr>
        <w:t xml:space="preserve">en la parte del casco urbano y en la zona rural </w:t>
      </w:r>
      <w:r>
        <w:rPr>
          <w:rFonts w:ascii="Arial" w:hAnsi="Arial" w:cs="Arial"/>
          <w:lang w:val="es-MX"/>
        </w:rPr>
        <w:t xml:space="preserve">por las distancias, </w:t>
      </w:r>
      <w:r w:rsidR="00BC2714">
        <w:rPr>
          <w:rFonts w:ascii="Arial" w:hAnsi="Arial" w:cs="Arial"/>
          <w:lang w:val="es-MX"/>
        </w:rPr>
        <w:t xml:space="preserve">donde se fomenta la participación de cada niño y niña </w:t>
      </w:r>
      <w:r w:rsidR="00247363">
        <w:rPr>
          <w:rFonts w:ascii="Arial" w:hAnsi="Arial" w:cs="Arial"/>
          <w:lang w:val="es-MX"/>
        </w:rPr>
        <w:t xml:space="preserve">y a la ves los padres de familia de cada comunidad </w:t>
      </w:r>
      <w:r w:rsidR="00BC2714">
        <w:rPr>
          <w:rFonts w:ascii="Arial" w:hAnsi="Arial" w:cs="Arial"/>
          <w:lang w:val="es-MX"/>
        </w:rPr>
        <w:t>como ciudadano y la alegría de cada niño y niña.</w:t>
      </w:r>
    </w:p>
    <w:p w:rsidR="00BC2714" w:rsidRDefault="00AB18E9" w:rsidP="00BC2714">
      <w:pPr>
        <w:jc w:val="both"/>
        <w:rPr>
          <w:rFonts w:ascii="Arial" w:hAnsi="Arial" w:cs="Arial"/>
          <w:lang w:val="es-MX"/>
        </w:rPr>
      </w:pPr>
      <w:r>
        <w:rPr>
          <w:rFonts w:ascii="Arial" w:hAnsi="Arial" w:cs="Arial"/>
          <w:lang w:val="es-MX"/>
        </w:rPr>
        <w:t>En el mes de octubre se realiza las diferentes f</w:t>
      </w:r>
      <w:r w:rsidR="00BC2714">
        <w:rPr>
          <w:rFonts w:ascii="Arial" w:hAnsi="Arial" w:cs="Arial"/>
          <w:lang w:val="es-MX"/>
        </w:rPr>
        <w:t xml:space="preserve">iesta de los pescadores donde cada año se les </w:t>
      </w:r>
      <w:r w:rsidR="0026669E">
        <w:rPr>
          <w:rFonts w:ascii="Arial" w:hAnsi="Arial" w:cs="Arial"/>
          <w:lang w:val="es-MX"/>
        </w:rPr>
        <w:t>a</w:t>
      </w:r>
      <w:r w:rsidR="00BC2714">
        <w:rPr>
          <w:rFonts w:ascii="Arial" w:hAnsi="Arial" w:cs="Arial"/>
          <w:lang w:val="es-MX"/>
        </w:rPr>
        <w:t>poya en la celebración con diferentes insumos com</w:t>
      </w:r>
      <w:r w:rsidR="00247363">
        <w:rPr>
          <w:rFonts w:ascii="Arial" w:hAnsi="Arial" w:cs="Arial"/>
          <w:lang w:val="es-MX"/>
        </w:rPr>
        <w:t>o municipalidad y donde se realiza la participación ciudadana en la parte de los emprendedores y turistas i se convive con el Sr. Alcalde</w:t>
      </w:r>
      <w:r w:rsidR="00BC2714">
        <w:rPr>
          <w:rFonts w:ascii="Arial" w:hAnsi="Arial" w:cs="Arial"/>
          <w:lang w:val="es-MX"/>
        </w:rPr>
        <w:t xml:space="preserve"> con cada persona que llega al lugar a disfrutar de la actividad coordinada con cada comité organizados en</w:t>
      </w:r>
      <w:r w:rsidR="0026669E">
        <w:rPr>
          <w:rFonts w:ascii="Arial" w:hAnsi="Arial" w:cs="Arial"/>
          <w:lang w:val="es-MX"/>
        </w:rPr>
        <w:t xml:space="preserve"> las zonas costera</w:t>
      </w:r>
      <w:r w:rsidR="00177EAA">
        <w:rPr>
          <w:rFonts w:ascii="Arial" w:hAnsi="Arial" w:cs="Arial"/>
          <w:lang w:val="es-MX"/>
        </w:rPr>
        <w:t xml:space="preserve"> y a la vez sirve de apoyo</w:t>
      </w:r>
      <w:r w:rsidR="00247363">
        <w:rPr>
          <w:rFonts w:ascii="Arial" w:hAnsi="Arial" w:cs="Arial"/>
          <w:lang w:val="es-MX"/>
        </w:rPr>
        <w:t xml:space="preserve"> económico</w:t>
      </w:r>
      <w:r w:rsidR="00177EAA">
        <w:rPr>
          <w:rFonts w:ascii="Arial" w:hAnsi="Arial" w:cs="Arial"/>
          <w:lang w:val="es-MX"/>
        </w:rPr>
        <w:t xml:space="preserve"> a los emprendedores de la zo</w:t>
      </w:r>
      <w:r w:rsidR="00247363">
        <w:rPr>
          <w:rFonts w:ascii="Arial" w:hAnsi="Arial" w:cs="Arial"/>
          <w:lang w:val="es-MX"/>
        </w:rPr>
        <w:t>na en donde se celebran dichas actividades</w:t>
      </w:r>
      <w:r w:rsidR="00177EAA">
        <w:rPr>
          <w:rFonts w:ascii="Arial" w:hAnsi="Arial" w:cs="Arial"/>
          <w:lang w:val="es-MX"/>
        </w:rPr>
        <w:t>.</w:t>
      </w:r>
    </w:p>
    <w:p w:rsidR="00E07338" w:rsidRDefault="00AB18E9" w:rsidP="00BC2714">
      <w:pPr>
        <w:jc w:val="both"/>
        <w:rPr>
          <w:rFonts w:ascii="Arial" w:hAnsi="Arial" w:cs="Arial"/>
          <w:lang w:val="es-MX"/>
        </w:rPr>
      </w:pPr>
      <w:r>
        <w:rPr>
          <w:rFonts w:ascii="Arial" w:hAnsi="Arial" w:cs="Arial"/>
          <w:lang w:val="es-MX"/>
        </w:rPr>
        <w:t xml:space="preserve">En el mes de diciembre </w:t>
      </w:r>
      <w:r w:rsidR="00E07338">
        <w:rPr>
          <w:rFonts w:ascii="Arial" w:hAnsi="Arial" w:cs="Arial"/>
          <w:lang w:val="es-MX"/>
        </w:rPr>
        <w:t xml:space="preserve">Como las noches de compras donde se les apoya a los comerciantes en poder vender cada producto en dicha fiesta </w:t>
      </w:r>
      <w:r>
        <w:rPr>
          <w:rFonts w:ascii="Arial" w:hAnsi="Arial" w:cs="Arial"/>
          <w:lang w:val="es-MX"/>
        </w:rPr>
        <w:t xml:space="preserve">donde se lleva una noche de diversión llevando comediantes y payasos para la diversión ya de niños niñas jóvenes y adultos y así pueden disfrutar en familias y amigos, realizando ala ves la participación ciudadana en la parte de diversión y en las mismas fechas del mes de diciembre el concejo y el Sr. Alcalde realizan la compra de los juguetes navideños para cada niño de todo el distrito de Acajutla entregando las cantidades solicitada a cada líder de su comunidad así mismo poder hacerlos llegar por medio del líder ahí también se fomenta la participación ciudadana en la parte de la diversión y social. </w:t>
      </w:r>
    </w:p>
    <w:p w:rsidR="0026669E" w:rsidRPr="0026669E" w:rsidRDefault="0026669E" w:rsidP="00BC2714">
      <w:pPr>
        <w:jc w:val="both"/>
        <w:rPr>
          <w:rFonts w:ascii="Arial" w:hAnsi="Arial" w:cs="Arial"/>
          <w:lang w:val="es-MX"/>
        </w:rPr>
      </w:pPr>
    </w:p>
    <w:p w:rsidR="004A3A31" w:rsidRPr="004C528A" w:rsidRDefault="00B22862" w:rsidP="00E920A2">
      <w:pPr>
        <w:spacing w:after="0"/>
        <w:rPr>
          <w:rFonts w:ascii="Arial" w:hAnsi="Arial" w:cs="Arial"/>
          <w:lang w:val="es-MX"/>
        </w:rPr>
      </w:pPr>
      <w:r w:rsidRPr="004C528A">
        <w:rPr>
          <w:rFonts w:ascii="Arial" w:hAnsi="Arial" w:cs="Arial"/>
          <w:lang w:val="es-MX"/>
        </w:rPr>
        <w:t xml:space="preserve"> </w:t>
      </w:r>
    </w:p>
    <w:p w:rsidR="00AC6B53" w:rsidRPr="004C528A" w:rsidRDefault="00B22862" w:rsidP="00E920A2">
      <w:pPr>
        <w:rPr>
          <w:rFonts w:ascii="Arial" w:hAnsi="Arial" w:cs="Arial"/>
          <w:lang w:val="es-ES"/>
        </w:rPr>
      </w:pPr>
      <w:r w:rsidRPr="004C528A">
        <w:rPr>
          <w:rFonts w:ascii="Arial" w:hAnsi="Arial" w:cs="Arial"/>
          <w:lang w:val="es-ES"/>
        </w:rPr>
        <w:t>Atentamente:</w:t>
      </w:r>
    </w:p>
    <w:p w:rsidR="00E920A2" w:rsidRDefault="00E920A2">
      <w:pPr>
        <w:jc w:val="both"/>
        <w:rPr>
          <w:rFonts w:ascii="Arial" w:hAnsi="Arial" w:cs="Arial"/>
          <w:lang w:val="es-ES"/>
        </w:rPr>
      </w:pPr>
    </w:p>
    <w:p w:rsidR="00E920A2" w:rsidRDefault="00E920A2">
      <w:pPr>
        <w:jc w:val="both"/>
        <w:rPr>
          <w:rFonts w:ascii="Arial" w:hAnsi="Arial" w:cs="Arial"/>
          <w:lang w:val="es-ES"/>
        </w:rPr>
      </w:pPr>
    </w:p>
    <w:p w:rsidR="00227050" w:rsidRDefault="00227050">
      <w:pPr>
        <w:jc w:val="both"/>
        <w:rPr>
          <w:rFonts w:ascii="Arial" w:hAnsi="Arial" w:cs="Arial"/>
          <w:lang w:val="es-ES"/>
        </w:rPr>
      </w:pPr>
    </w:p>
    <w:p w:rsidR="00227050" w:rsidRDefault="00227050">
      <w:pPr>
        <w:jc w:val="both"/>
        <w:rPr>
          <w:rFonts w:ascii="Arial" w:hAnsi="Arial" w:cs="Arial"/>
          <w:lang w:val="es-ES"/>
        </w:rPr>
      </w:pPr>
    </w:p>
    <w:p w:rsidR="00227050" w:rsidRDefault="00227050">
      <w:pPr>
        <w:jc w:val="both"/>
        <w:rPr>
          <w:rFonts w:ascii="Arial" w:hAnsi="Arial" w:cs="Arial"/>
          <w:lang w:val="es-ES"/>
        </w:rPr>
      </w:pPr>
    </w:p>
    <w:p w:rsidR="00227050" w:rsidRDefault="00227050">
      <w:pPr>
        <w:jc w:val="both"/>
        <w:rPr>
          <w:rFonts w:ascii="Arial" w:hAnsi="Arial" w:cs="Arial"/>
          <w:lang w:val="es-ES"/>
        </w:rPr>
      </w:pPr>
    </w:p>
    <w:p w:rsidR="004A3A31" w:rsidRDefault="00B22862" w:rsidP="00E920A2">
      <w:pPr>
        <w:spacing w:after="0"/>
        <w:ind w:firstLineChars="1200" w:firstLine="2640"/>
        <w:rPr>
          <w:rFonts w:ascii="Arial" w:hAnsi="Arial" w:cs="Arial"/>
          <w:b/>
          <w:bCs/>
          <w:lang w:val="es-MX"/>
        </w:rPr>
      </w:pPr>
      <w:r>
        <w:rPr>
          <w:rFonts w:ascii="Arial" w:hAnsi="Arial" w:cs="Arial"/>
          <w:b/>
          <w:bCs/>
          <w:lang w:val="es-MX"/>
        </w:rPr>
        <w:t>F.________________________________</w:t>
      </w:r>
    </w:p>
    <w:p w:rsidR="00E920A2" w:rsidRDefault="00E920A2" w:rsidP="00E920A2">
      <w:pPr>
        <w:spacing w:after="0"/>
        <w:rPr>
          <w:rFonts w:ascii="Arial" w:hAnsi="Arial" w:cs="Arial"/>
          <w:b/>
          <w:bCs/>
          <w:lang w:val="es-MX"/>
        </w:rPr>
      </w:pPr>
      <w:r>
        <w:rPr>
          <w:rFonts w:ascii="Arial" w:hAnsi="Arial" w:cs="Arial"/>
          <w:b/>
          <w:bCs/>
          <w:lang w:val="es-MX"/>
        </w:rPr>
        <w:t xml:space="preserve">                                                        ANACLETO CUELLAR</w:t>
      </w:r>
    </w:p>
    <w:p w:rsidR="00E920A2" w:rsidRPr="00AC6B53" w:rsidRDefault="00E920A2" w:rsidP="00E920A2">
      <w:pPr>
        <w:spacing w:after="0"/>
        <w:rPr>
          <w:rFonts w:ascii="Arial" w:hAnsi="Arial" w:cs="Arial"/>
          <w:b/>
          <w:bCs/>
          <w:lang w:val="es-MX"/>
        </w:rPr>
      </w:pPr>
      <w:r>
        <w:rPr>
          <w:rFonts w:ascii="Arial" w:hAnsi="Arial" w:cs="Arial"/>
          <w:b/>
          <w:bCs/>
          <w:lang w:val="es-MX"/>
        </w:rPr>
        <w:t xml:space="preserve">                               JEFE DEL DEPARTAMENTO DE PROYECCION SOCIAL</w:t>
      </w:r>
    </w:p>
    <w:p w:rsidR="00E920A2" w:rsidRPr="00AC6B53" w:rsidRDefault="00E920A2" w:rsidP="00E920A2">
      <w:pPr>
        <w:tabs>
          <w:tab w:val="left" w:pos="3122"/>
        </w:tabs>
        <w:spacing w:after="0"/>
        <w:ind w:firstLineChars="1200" w:firstLine="2640"/>
        <w:rPr>
          <w:rFonts w:ascii="Arial" w:hAnsi="Arial" w:cs="Arial"/>
          <w:b/>
          <w:bCs/>
          <w:lang w:val="es-MX"/>
        </w:rPr>
      </w:pPr>
    </w:p>
    <w:sectPr w:rsidR="00E920A2" w:rsidRPr="00AC6B5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733" w:rsidRDefault="00911733">
      <w:pPr>
        <w:spacing w:line="240" w:lineRule="auto"/>
      </w:pPr>
      <w:r>
        <w:separator/>
      </w:r>
    </w:p>
  </w:endnote>
  <w:endnote w:type="continuationSeparator" w:id="0">
    <w:p w:rsidR="00911733" w:rsidRDefault="009117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31" w:rsidRDefault="00531235">
    <w:pPr>
      <w:pStyle w:val="Piedepgina"/>
    </w:pPr>
    <w:r>
      <w:rPr>
        <w:noProof/>
        <w:lang w:eastAsia="es-SV"/>
      </w:rPr>
      <w:drawing>
        <wp:anchor distT="0" distB="0" distL="114300" distR="114300" simplePos="0" relativeHeight="251664384" behindDoc="0" locked="0" layoutInCell="1" allowOverlap="1" wp14:anchorId="3E73D060" wp14:editId="7C0DD387">
          <wp:simplePos x="0" y="0"/>
          <wp:positionH relativeFrom="margin">
            <wp:align>center</wp:align>
          </wp:positionH>
          <wp:positionV relativeFrom="page">
            <wp:posOffset>9260227</wp:posOffset>
          </wp:positionV>
          <wp:extent cx="7444127" cy="589280"/>
          <wp:effectExtent l="0" t="0" r="4445" b="12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44127" cy="589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733" w:rsidRDefault="00911733">
      <w:pPr>
        <w:spacing w:after="0"/>
      </w:pPr>
      <w:r>
        <w:separator/>
      </w:r>
    </w:p>
  </w:footnote>
  <w:footnote w:type="continuationSeparator" w:id="0">
    <w:p w:rsidR="00911733" w:rsidRDefault="0091173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31" w:rsidRDefault="00531235">
    <w:pPr>
      <w:pStyle w:val="Encabezado"/>
    </w:pPr>
    <w:r>
      <w:rPr>
        <w:noProof/>
        <w:lang w:eastAsia="es-SV"/>
      </w:rPr>
      <w:drawing>
        <wp:anchor distT="0" distB="0" distL="114300" distR="114300" simplePos="0" relativeHeight="251662336" behindDoc="0" locked="0" layoutInCell="1" allowOverlap="1" wp14:anchorId="5250AA88" wp14:editId="7BAB12E5">
          <wp:simplePos x="0" y="0"/>
          <wp:positionH relativeFrom="margin">
            <wp:posOffset>-320040</wp:posOffset>
          </wp:positionH>
          <wp:positionV relativeFrom="topMargin">
            <wp:posOffset>88900</wp:posOffset>
          </wp:positionV>
          <wp:extent cx="6173470" cy="835025"/>
          <wp:effectExtent l="0" t="0" r="0"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SECRETARIA MUNICIP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3470" cy="835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2747"/>
    <w:multiLevelType w:val="hybridMultilevel"/>
    <w:tmpl w:val="BBB807BA"/>
    <w:lvl w:ilvl="0" w:tplc="13EEE206">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1E942BC"/>
    <w:multiLevelType w:val="hybridMultilevel"/>
    <w:tmpl w:val="DBCA4D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60"/>
    <w:rsid w:val="000038FC"/>
    <w:rsid w:val="00053249"/>
    <w:rsid w:val="000572AC"/>
    <w:rsid w:val="00062552"/>
    <w:rsid w:val="00062BBA"/>
    <w:rsid w:val="00063CEB"/>
    <w:rsid w:val="000B7E13"/>
    <w:rsid w:val="000D2294"/>
    <w:rsid w:val="000D3489"/>
    <w:rsid w:val="000F1754"/>
    <w:rsid w:val="00103414"/>
    <w:rsid w:val="00122008"/>
    <w:rsid w:val="00125DE6"/>
    <w:rsid w:val="001262EC"/>
    <w:rsid w:val="00146472"/>
    <w:rsid w:val="0015627E"/>
    <w:rsid w:val="00177EAA"/>
    <w:rsid w:val="001A083A"/>
    <w:rsid w:val="001E3A79"/>
    <w:rsid w:val="00227050"/>
    <w:rsid w:val="00247363"/>
    <w:rsid w:val="0026669E"/>
    <w:rsid w:val="002678C1"/>
    <w:rsid w:val="00280150"/>
    <w:rsid w:val="00284B81"/>
    <w:rsid w:val="002D78E6"/>
    <w:rsid w:val="003054EA"/>
    <w:rsid w:val="003060EB"/>
    <w:rsid w:val="00307FE0"/>
    <w:rsid w:val="0032471D"/>
    <w:rsid w:val="003337CD"/>
    <w:rsid w:val="00350729"/>
    <w:rsid w:val="003646D3"/>
    <w:rsid w:val="00367060"/>
    <w:rsid w:val="003D3216"/>
    <w:rsid w:val="003D7ECE"/>
    <w:rsid w:val="0041382D"/>
    <w:rsid w:val="004213CE"/>
    <w:rsid w:val="004546C8"/>
    <w:rsid w:val="004604FB"/>
    <w:rsid w:val="004636E6"/>
    <w:rsid w:val="00475DCC"/>
    <w:rsid w:val="004A2654"/>
    <w:rsid w:val="004A3A31"/>
    <w:rsid w:val="004C528A"/>
    <w:rsid w:val="004C5925"/>
    <w:rsid w:val="004E4208"/>
    <w:rsid w:val="00516254"/>
    <w:rsid w:val="00526D0C"/>
    <w:rsid w:val="00531235"/>
    <w:rsid w:val="00533F9A"/>
    <w:rsid w:val="00541D03"/>
    <w:rsid w:val="00564601"/>
    <w:rsid w:val="005A556B"/>
    <w:rsid w:val="005B2C02"/>
    <w:rsid w:val="005F031C"/>
    <w:rsid w:val="005F27E3"/>
    <w:rsid w:val="00603773"/>
    <w:rsid w:val="00625456"/>
    <w:rsid w:val="00637110"/>
    <w:rsid w:val="0065162E"/>
    <w:rsid w:val="0066759F"/>
    <w:rsid w:val="0068699E"/>
    <w:rsid w:val="006A0554"/>
    <w:rsid w:val="006A2560"/>
    <w:rsid w:val="006C0ADC"/>
    <w:rsid w:val="006C6584"/>
    <w:rsid w:val="006E0E1D"/>
    <w:rsid w:val="006E5674"/>
    <w:rsid w:val="00756A34"/>
    <w:rsid w:val="00756BE4"/>
    <w:rsid w:val="00786F5D"/>
    <w:rsid w:val="007953ED"/>
    <w:rsid w:val="00823B6D"/>
    <w:rsid w:val="00847DC4"/>
    <w:rsid w:val="008626F6"/>
    <w:rsid w:val="00911733"/>
    <w:rsid w:val="00967C30"/>
    <w:rsid w:val="00985EF4"/>
    <w:rsid w:val="009E37EE"/>
    <w:rsid w:val="009E6207"/>
    <w:rsid w:val="00A726FB"/>
    <w:rsid w:val="00A8581E"/>
    <w:rsid w:val="00A953D6"/>
    <w:rsid w:val="00AB18E9"/>
    <w:rsid w:val="00AC24E1"/>
    <w:rsid w:val="00AC6B53"/>
    <w:rsid w:val="00B10842"/>
    <w:rsid w:val="00B152C4"/>
    <w:rsid w:val="00B22862"/>
    <w:rsid w:val="00B861E5"/>
    <w:rsid w:val="00BA16E6"/>
    <w:rsid w:val="00BA1EFB"/>
    <w:rsid w:val="00BC0345"/>
    <w:rsid w:val="00BC2714"/>
    <w:rsid w:val="00BF367E"/>
    <w:rsid w:val="00BF41EF"/>
    <w:rsid w:val="00C033C2"/>
    <w:rsid w:val="00C140D2"/>
    <w:rsid w:val="00C36D06"/>
    <w:rsid w:val="00C85C10"/>
    <w:rsid w:val="00C86955"/>
    <w:rsid w:val="00C9542A"/>
    <w:rsid w:val="00C95F43"/>
    <w:rsid w:val="00CA02DA"/>
    <w:rsid w:val="00CA0A7B"/>
    <w:rsid w:val="00CA5E85"/>
    <w:rsid w:val="00CC2DB7"/>
    <w:rsid w:val="00CC68C7"/>
    <w:rsid w:val="00CF1591"/>
    <w:rsid w:val="00D01691"/>
    <w:rsid w:val="00D14949"/>
    <w:rsid w:val="00D2678E"/>
    <w:rsid w:val="00D32ACD"/>
    <w:rsid w:val="00D816A6"/>
    <w:rsid w:val="00DA3E5C"/>
    <w:rsid w:val="00DA70D0"/>
    <w:rsid w:val="00DD1F7A"/>
    <w:rsid w:val="00E07338"/>
    <w:rsid w:val="00E331ED"/>
    <w:rsid w:val="00E52E33"/>
    <w:rsid w:val="00E80B9F"/>
    <w:rsid w:val="00E81EE3"/>
    <w:rsid w:val="00E82102"/>
    <w:rsid w:val="00E920A2"/>
    <w:rsid w:val="00E9210A"/>
    <w:rsid w:val="00EA7151"/>
    <w:rsid w:val="00EC5B66"/>
    <w:rsid w:val="00EF58FC"/>
    <w:rsid w:val="00F07CC8"/>
    <w:rsid w:val="00F17338"/>
    <w:rsid w:val="00F17BB5"/>
    <w:rsid w:val="00F233D6"/>
    <w:rsid w:val="00F446F3"/>
    <w:rsid w:val="00FA09B9"/>
    <w:rsid w:val="00FE17D1"/>
    <w:rsid w:val="00FE336A"/>
    <w:rsid w:val="00FE7965"/>
    <w:rsid w:val="00FF3C74"/>
    <w:rsid w:val="11C3025E"/>
    <w:rsid w:val="124F080F"/>
    <w:rsid w:val="303E6CDE"/>
    <w:rsid w:val="34EC1011"/>
    <w:rsid w:val="48AB1B18"/>
    <w:rsid w:val="7ABB4168"/>
    <w:rsid w:val="7F730D51"/>
  </w:rsids>
  <m:mathPr>
    <m:mathFont m:val="Cambria Math"/>
    <m:brkBin m:val="before"/>
    <m:brkBinSub m:val="--"/>
    <m:smallFrac m:val="0"/>
    <m:dispDef/>
    <m:lMargin m:val="0"/>
    <m:rMargin m:val="0"/>
    <m:defJc m:val="centerGroup"/>
    <m:wrapIndent m:val="1440"/>
    <m:intLim m:val="subSup"/>
    <m:naryLim m:val="undOvr"/>
  </m:mathPr>
  <w:themeFontLang w:val="es-S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603F"/>
  <w15:docId w15:val="{46D48960-D51E-486E-932B-76E5B1AF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SV" w:eastAsia="en-US"/>
    </w:rPr>
  </w:style>
  <w:style w:type="paragraph" w:styleId="Ttulo2">
    <w:name w:val="heading 2"/>
    <w:basedOn w:val="Normal"/>
    <w:next w:val="Normal"/>
    <w:link w:val="Ttulo2Car"/>
    <w:uiPriority w:val="9"/>
    <w:unhideWhenUsed/>
    <w:qFormat/>
    <w:rsid w:val="00C85C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85C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Ttulo">
    <w:name w:val="Title"/>
    <w:basedOn w:val="Normal"/>
    <w:next w:val="Normal"/>
    <w:link w:val="TtuloCar"/>
    <w:uiPriority w:val="10"/>
    <w:qFormat/>
    <w:rsid w:val="00C85C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5C10"/>
    <w:rPr>
      <w:rFonts w:asciiTheme="majorHAnsi" w:eastAsiaTheme="majorEastAsia" w:hAnsiTheme="majorHAnsi" w:cstheme="majorBidi"/>
      <w:spacing w:val="-10"/>
      <w:kern w:val="28"/>
      <w:sz w:val="56"/>
      <w:szCs w:val="56"/>
      <w:lang w:val="es-SV" w:eastAsia="en-US"/>
    </w:rPr>
  </w:style>
  <w:style w:type="character" w:customStyle="1" w:styleId="Ttulo2Car">
    <w:name w:val="Título 2 Car"/>
    <w:basedOn w:val="Fuentedeprrafopredeter"/>
    <w:link w:val="Ttulo2"/>
    <w:uiPriority w:val="9"/>
    <w:rsid w:val="00C85C10"/>
    <w:rPr>
      <w:rFonts w:asciiTheme="majorHAnsi" w:eastAsiaTheme="majorEastAsia" w:hAnsiTheme="majorHAnsi" w:cstheme="majorBidi"/>
      <w:color w:val="2E74B5" w:themeColor="accent1" w:themeShade="BF"/>
      <w:sz w:val="26"/>
      <w:szCs w:val="26"/>
      <w:lang w:val="es-SV" w:eastAsia="en-US"/>
    </w:rPr>
  </w:style>
  <w:style w:type="character" w:customStyle="1" w:styleId="Ttulo3Car">
    <w:name w:val="Título 3 Car"/>
    <w:basedOn w:val="Fuentedeprrafopredeter"/>
    <w:link w:val="Ttulo3"/>
    <w:uiPriority w:val="9"/>
    <w:rsid w:val="00C85C10"/>
    <w:rPr>
      <w:rFonts w:asciiTheme="majorHAnsi" w:eastAsiaTheme="majorEastAsia" w:hAnsiTheme="majorHAnsi" w:cstheme="majorBidi"/>
      <w:color w:val="1F4D78" w:themeColor="accent1" w:themeShade="7F"/>
      <w:sz w:val="24"/>
      <w:szCs w:val="24"/>
      <w:lang w:val="es-SV" w:eastAsia="en-US"/>
    </w:rPr>
  </w:style>
  <w:style w:type="paragraph" w:styleId="Sinespaciado">
    <w:name w:val="No Spacing"/>
    <w:uiPriority w:val="1"/>
    <w:qFormat/>
    <w:rsid w:val="00AC6B53"/>
    <w:rPr>
      <w:rFonts w:ascii="Calibri" w:eastAsia="Calibri" w:hAnsi="Calibri" w:cs="Calibri"/>
      <w:color w:val="000000"/>
      <w:sz w:val="22"/>
      <w:szCs w:val="22"/>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1936E-AB7B-46DC-B2A0-46C30953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3</Pages>
  <Words>1213</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P. Social</dc:creator>
  <cp:lastModifiedBy>Proyeccion_Social</cp:lastModifiedBy>
  <cp:revision>24</cp:revision>
  <cp:lastPrinted>2025-01-10T17:14:00Z</cp:lastPrinted>
  <dcterms:created xsi:type="dcterms:W3CDTF">2024-01-09T03:01:00Z</dcterms:created>
  <dcterms:modified xsi:type="dcterms:W3CDTF">2025-01-10T17:16:00Z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37EF9D2485B54861BE6F30BF709C6DA0_12</vt:lpwstr>
  </property>
</Properties>
</file>