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CF" w:rsidRDefault="00B775CF" w:rsidP="00B775CF">
      <w:pPr>
        <w:contextualSpacing/>
        <w:jc w:val="center"/>
        <w:rPr>
          <w:rFonts w:ascii="Copperplate Gothic Light" w:hAnsi="Copperplate Gothic Light"/>
          <w:b/>
          <w:sz w:val="28"/>
        </w:rPr>
      </w:pPr>
    </w:p>
    <w:p w:rsidR="00B775CF" w:rsidRDefault="00B775CF" w:rsidP="00B775CF">
      <w:pPr>
        <w:contextualSpacing/>
        <w:jc w:val="center"/>
        <w:rPr>
          <w:rFonts w:ascii="Copperplate Gothic Light" w:hAnsi="Copperplate Gothic Light"/>
          <w:b/>
          <w:sz w:val="28"/>
        </w:rPr>
      </w:pPr>
    </w:p>
    <w:p w:rsidR="00B775CF" w:rsidRPr="0022515D" w:rsidRDefault="00B775CF" w:rsidP="00B775CF">
      <w:pPr>
        <w:contextualSpacing/>
        <w:jc w:val="center"/>
        <w:rPr>
          <w:rFonts w:ascii="Copperplate Gothic Light" w:hAnsi="Copperplate Gothic Light"/>
          <w:b/>
          <w:sz w:val="28"/>
        </w:rPr>
      </w:pPr>
      <w:r w:rsidRPr="0022515D">
        <w:rPr>
          <w:rFonts w:ascii="Copperplate Gothic Light" w:hAnsi="Copperplate Gothic Light"/>
          <w:b/>
          <w:sz w:val="28"/>
        </w:rPr>
        <w:t>Centro Nacional de Registros</w:t>
      </w:r>
    </w:p>
    <w:p w:rsidR="00B775CF" w:rsidRDefault="00B775CF" w:rsidP="00B775CF">
      <w:pPr>
        <w:contextualSpacing/>
        <w:jc w:val="center"/>
        <w:rPr>
          <w:rFonts w:ascii="Copperplate Gothic Light" w:hAnsi="Copperplate Gothic Light"/>
          <w:b/>
          <w:sz w:val="28"/>
        </w:rPr>
      </w:pPr>
      <w:r w:rsidRPr="0022515D">
        <w:rPr>
          <w:rFonts w:ascii="Copperplate Gothic Light" w:hAnsi="Copperplate Gothic Light"/>
          <w:b/>
          <w:sz w:val="28"/>
        </w:rPr>
        <w:t>Listado de Mecanismos de participación ciudadana</w:t>
      </w:r>
    </w:p>
    <w:p w:rsidR="00B775CF" w:rsidRDefault="00B775CF" w:rsidP="00B775CF">
      <w:pPr>
        <w:contextualSpacing/>
        <w:jc w:val="center"/>
        <w:rPr>
          <w:rFonts w:ascii="Copperplate Gothic Light" w:hAnsi="Copperplate Gothic Light"/>
          <w:b/>
          <w:sz w:val="28"/>
        </w:rPr>
      </w:pPr>
      <w:r>
        <w:rPr>
          <w:rFonts w:ascii="Copperplate Gothic Light" w:hAnsi="Copperplate Gothic Light"/>
          <w:b/>
          <w:sz w:val="28"/>
        </w:rPr>
        <w:t>Periodo de enero 2018 a marzo 2018</w:t>
      </w:r>
    </w:p>
    <w:p w:rsidR="00B775CF" w:rsidRDefault="00B775CF" w:rsidP="00B775CF">
      <w:pPr>
        <w:jc w:val="center"/>
      </w:pPr>
    </w:p>
    <w:p w:rsidR="00B775CF" w:rsidRDefault="00B775CF" w:rsidP="00B775CF">
      <w:pPr>
        <w:jc w:val="center"/>
      </w:pPr>
    </w:p>
    <w:tbl>
      <w:tblPr>
        <w:tblStyle w:val="Cuadrculamedia1-nfasis1"/>
        <w:tblW w:w="23335" w:type="dxa"/>
        <w:tblLayout w:type="fixed"/>
        <w:tblLook w:val="04A0"/>
      </w:tblPr>
      <w:tblGrid>
        <w:gridCol w:w="675"/>
        <w:gridCol w:w="2093"/>
        <w:gridCol w:w="3436"/>
        <w:gridCol w:w="3112"/>
        <w:gridCol w:w="2412"/>
        <w:gridCol w:w="3973"/>
        <w:gridCol w:w="1451"/>
        <w:gridCol w:w="1423"/>
        <w:gridCol w:w="1945"/>
        <w:gridCol w:w="1584"/>
        <w:gridCol w:w="1231"/>
      </w:tblGrid>
      <w:tr w:rsidR="00B775CF" w:rsidTr="00625080">
        <w:trPr>
          <w:cnfStyle w:val="100000000000"/>
          <w:trHeight w:val="600"/>
        </w:trPr>
        <w:tc>
          <w:tcPr>
            <w:cnfStyle w:val="001000000000"/>
            <w:tcW w:w="675" w:type="dxa"/>
            <w:vAlign w:val="center"/>
          </w:tcPr>
          <w:p w:rsidR="00B775CF" w:rsidRPr="0022515D" w:rsidRDefault="00B775CF" w:rsidP="00625080">
            <w:pPr>
              <w:jc w:val="center"/>
              <w:rPr>
                <w:rFonts w:ascii="Arial Black" w:eastAsia="Times New Roman" w:hAnsi="Arial Black" w:cs="Calibri"/>
                <w:color w:val="000000"/>
                <w:lang w:eastAsia="es-SV"/>
              </w:rPr>
            </w:pPr>
            <w:r>
              <w:rPr>
                <w:rFonts w:ascii="Arial Black" w:eastAsia="Times New Roman" w:hAnsi="Arial Black" w:cs="Calibri"/>
                <w:color w:val="000000"/>
                <w:lang w:eastAsia="es-SV"/>
              </w:rPr>
              <w:t>No.</w:t>
            </w:r>
          </w:p>
        </w:tc>
        <w:tc>
          <w:tcPr>
            <w:tcW w:w="2093"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Nombre</w:t>
            </w:r>
            <w:r>
              <w:rPr>
                <w:rFonts w:ascii="Arial Black" w:eastAsia="Times New Roman" w:hAnsi="Arial Black" w:cs="Calibri"/>
                <w:color w:val="000000"/>
                <w:lang w:eastAsia="es-SV"/>
              </w:rPr>
              <w:t xml:space="preserve"> del mecanismo</w:t>
            </w:r>
          </w:p>
        </w:tc>
        <w:tc>
          <w:tcPr>
            <w:tcW w:w="3436"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Objetivo</w:t>
            </w:r>
          </w:p>
        </w:tc>
        <w:tc>
          <w:tcPr>
            <w:tcW w:w="3112"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Descripción</w:t>
            </w:r>
          </w:p>
        </w:tc>
        <w:tc>
          <w:tcPr>
            <w:tcW w:w="2412"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Requisitos de participación</w:t>
            </w:r>
          </w:p>
        </w:tc>
        <w:tc>
          <w:tcPr>
            <w:tcW w:w="3973"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Resultado</w:t>
            </w:r>
          </w:p>
        </w:tc>
        <w:tc>
          <w:tcPr>
            <w:tcW w:w="1451" w:type="dxa"/>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Fecha de inicio de ejecución</w:t>
            </w:r>
          </w:p>
        </w:tc>
        <w:tc>
          <w:tcPr>
            <w:tcW w:w="1423" w:type="dxa"/>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Fecha de fin de ejecución</w:t>
            </w:r>
          </w:p>
        </w:tc>
        <w:tc>
          <w:tcPr>
            <w:tcW w:w="1945" w:type="dxa"/>
            <w:vAlign w:val="center"/>
          </w:tcPr>
          <w:p w:rsidR="00B775CF" w:rsidRPr="0022515D" w:rsidRDefault="00B775CF" w:rsidP="00625080">
            <w:pPr>
              <w:jc w:val="center"/>
              <w:cnfStyle w:val="100000000000"/>
              <w:rPr>
                <w:rFonts w:ascii="Arial Black" w:eastAsia="Times New Roman" w:hAnsi="Arial Black" w:cs="Calibri"/>
                <w:color w:val="000000"/>
                <w:lang w:eastAsia="es-SV"/>
              </w:rPr>
            </w:pPr>
            <w:r>
              <w:rPr>
                <w:rFonts w:ascii="Arial Black" w:eastAsia="Times New Roman" w:hAnsi="Arial Black" w:cs="Calibri"/>
                <w:color w:val="000000"/>
                <w:lang w:eastAsia="es-SV"/>
              </w:rPr>
              <w:t>Cantidad de Participantes</w:t>
            </w:r>
          </w:p>
        </w:tc>
        <w:tc>
          <w:tcPr>
            <w:tcW w:w="1584" w:type="dxa"/>
            <w:vAlign w:val="center"/>
          </w:tcPr>
          <w:p w:rsidR="00B775CF" w:rsidRPr="0022515D" w:rsidRDefault="00B775CF" w:rsidP="00625080">
            <w:pPr>
              <w:jc w:val="center"/>
              <w:cnfStyle w:val="100000000000"/>
              <w:rPr>
                <w:rFonts w:ascii="Arial Black" w:eastAsia="Times New Roman" w:hAnsi="Arial Black" w:cs="Calibri"/>
                <w:color w:val="000000"/>
                <w:lang w:eastAsia="es-SV"/>
              </w:rPr>
            </w:pPr>
            <w:r>
              <w:rPr>
                <w:rFonts w:ascii="Arial Black" w:eastAsia="Times New Roman" w:hAnsi="Arial Black" w:cs="Calibri"/>
                <w:color w:val="000000"/>
                <w:lang w:eastAsia="es-SV"/>
              </w:rPr>
              <w:t>Género (H/M)</w:t>
            </w:r>
          </w:p>
        </w:tc>
        <w:tc>
          <w:tcPr>
            <w:tcW w:w="1231" w:type="dxa"/>
          </w:tcPr>
          <w:p w:rsidR="00B775CF" w:rsidRDefault="00B775CF" w:rsidP="00625080">
            <w:pPr>
              <w:jc w:val="center"/>
              <w:cnfStyle w:val="100000000000"/>
              <w:rPr>
                <w:rFonts w:ascii="Arial Black" w:eastAsia="Times New Roman" w:hAnsi="Arial Black" w:cs="Calibri"/>
                <w:color w:val="000000"/>
                <w:lang w:eastAsia="es-SV"/>
              </w:rPr>
            </w:pPr>
            <w:r>
              <w:rPr>
                <w:rFonts w:ascii="Arial Black" w:eastAsia="Times New Roman" w:hAnsi="Arial Black" w:cs="Calibri"/>
                <w:color w:val="000000"/>
                <w:lang w:eastAsia="es-SV"/>
              </w:rPr>
              <w:t>Reporte</w:t>
            </w:r>
          </w:p>
        </w:tc>
      </w:tr>
      <w:tr w:rsidR="00B775CF" w:rsidTr="00625080">
        <w:trPr>
          <w:cnfStyle w:val="000000100000"/>
          <w:trHeight w:val="300"/>
        </w:trPr>
        <w:tc>
          <w:tcPr>
            <w:cnfStyle w:val="001000000000"/>
            <w:tcW w:w="675" w:type="dxa"/>
            <w:vAlign w:val="center"/>
          </w:tcPr>
          <w:p w:rsidR="00B775CF" w:rsidRPr="00371576" w:rsidRDefault="00B775CF" w:rsidP="00625080">
            <w:pPr>
              <w:jc w:val="center"/>
              <w:rPr>
                <w:rFonts w:ascii="Arial" w:eastAsia="Times New Roman" w:hAnsi="Arial" w:cs="Arial"/>
                <w:color w:val="000000"/>
                <w:sz w:val="24"/>
                <w:lang w:eastAsia="es-SV"/>
              </w:rPr>
            </w:pPr>
            <w:r w:rsidRPr="00371576">
              <w:rPr>
                <w:rFonts w:ascii="Arial" w:eastAsia="Times New Roman" w:hAnsi="Arial" w:cs="Arial"/>
                <w:color w:val="000000"/>
                <w:sz w:val="24"/>
                <w:lang w:eastAsia="es-SV"/>
              </w:rPr>
              <w:t>1</w:t>
            </w:r>
          </w:p>
        </w:tc>
        <w:tc>
          <w:tcPr>
            <w:tcW w:w="209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 </w:t>
            </w:r>
          </w:p>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Rendiciones de cuentas</w:t>
            </w:r>
          </w:p>
          <w:p w:rsidR="00B775CF" w:rsidRPr="00371576" w:rsidRDefault="00B775CF" w:rsidP="00625080">
            <w:pPr>
              <w:cnfStyle w:val="000000100000"/>
              <w:rPr>
                <w:rFonts w:ascii="Arial" w:eastAsia="Times New Roman" w:hAnsi="Arial" w:cs="Arial"/>
                <w:color w:val="000000"/>
                <w:sz w:val="24"/>
                <w:lang w:eastAsia="es-SV"/>
              </w:rPr>
            </w:pPr>
          </w:p>
        </w:tc>
        <w:tc>
          <w:tcPr>
            <w:tcW w:w="3436"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Dar a conocer lo que está haciendo la institución, en cuanto a los servicios que se ofrecen y sus procesos, así como los principios de legalidad, ética y valores que se aplican, ya que es un derecho que le asiste al pueblo, el tener este conocimiento.</w:t>
            </w:r>
          </w:p>
        </w:tc>
        <w:tc>
          <w:tcPr>
            <w:tcW w:w="3112"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Se tiene planificado realizar eventos regionales para rendir cuentas a la población en general en la zona oriental, occidental y central del país.</w:t>
            </w:r>
          </w:p>
        </w:tc>
        <w:tc>
          <w:tcPr>
            <w:tcW w:w="2412"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Por lo general y naturaleza de la rendición de cuentas, esta no tiene requisitos previos para participar por tanto se procura que sea el evento dirigido a usuarios frecuentes de las oficinas de registro y todo el sector civil en general.</w:t>
            </w:r>
          </w:p>
        </w:tc>
        <w:tc>
          <w:tcPr>
            <w:tcW w:w="397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Se ha programado realizar 3 rendiciones de cuentas regionales en las fechas:</w:t>
            </w:r>
          </w:p>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14/Agosto/2018</w:t>
            </w:r>
          </w:p>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17/Agosto/2018</w:t>
            </w:r>
          </w:p>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29/Agosto/2018</w:t>
            </w:r>
          </w:p>
        </w:tc>
        <w:tc>
          <w:tcPr>
            <w:tcW w:w="1451" w:type="dxa"/>
            <w:noWrap/>
            <w:hideMark/>
          </w:tcPr>
          <w:p w:rsidR="00B775CF" w:rsidRPr="00B656ED" w:rsidRDefault="00B775CF" w:rsidP="00625080">
            <w:pPr>
              <w:cnfStyle w:val="000000100000"/>
              <w:rPr>
                <w:rFonts w:ascii="Arial" w:eastAsia="Times New Roman" w:hAnsi="Arial" w:cs="Arial"/>
                <w:color w:val="000000"/>
                <w:sz w:val="24"/>
                <w:lang w:eastAsia="es-SV"/>
              </w:rPr>
            </w:pPr>
            <w:r w:rsidRPr="00B656ED">
              <w:rPr>
                <w:rFonts w:ascii="Arial" w:eastAsia="Times New Roman" w:hAnsi="Arial" w:cs="Arial"/>
                <w:color w:val="000000"/>
                <w:sz w:val="24"/>
                <w:lang w:eastAsia="es-SV"/>
              </w:rPr>
              <w:t>14/Agosto/2018</w:t>
            </w:r>
          </w:p>
          <w:p w:rsidR="00B775CF" w:rsidRPr="00B656ED" w:rsidRDefault="00B775CF" w:rsidP="00625080">
            <w:pPr>
              <w:cnfStyle w:val="000000100000"/>
              <w:rPr>
                <w:rFonts w:ascii="Arial" w:eastAsia="Times New Roman" w:hAnsi="Arial" w:cs="Arial"/>
                <w:color w:val="000000"/>
                <w:sz w:val="24"/>
                <w:lang w:eastAsia="es-SV"/>
              </w:rPr>
            </w:pPr>
            <w:r w:rsidRPr="00B656ED">
              <w:rPr>
                <w:rFonts w:ascii="Arial" w:eastAsia="Times New Roman" w:hAnsi="Arial" w:cs="Arial"/>
                <w:color w:val="000000"/>
                <w:sz w:val="24"/>
                <w:lang w:eastAsia="es-SV"/>
              </w:rPr>
              <w:t>17/Agosto/2018</w:t>
            </w:r>
          </w:p>
          <w:p w:rsidR="00B775CF" w:rsidRDefault="00B775CF" w:rsidP="00625080">
            <w:pPr>
              <w:cnfStyle w:val="000000100000"/>
              <w:rPr>
                <w:rFonts w:ascii="Arial" w:eastAsia="Times New Roman" w:hAnsi="Arial" w:cs="Arial"/>
                <w:color w:val="000000"/>
                <w:lang w:eastAsia="es-SV"/>
              </w:rPr>
            </w:pPr>
            <w:r w:rsidRPr="00B656ED">
              <w:rPr>
                <w:rFonts w:ascii="Arial" w:eastAsia="Times New Roman" w:hAnsi="Arial" w:cs="Arial"/>
                <w:color w:val="000000"/>
                <w:sz w:val="24"/>
                <w:lang w:eastAsia="es-SV"/>
              </w:rPr>
              <w:t>29/Agosto/2018</w:t>
            </w:r>
          </w:p>
        </w:tc>
        <w:tc>
          <w:tcPr>
            <w:tcW w:w="142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14/Agosto/2018</w:t>
            </w:r>
          </w:p>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17/Agosto/2018</w:t>
            </w:r>
          </w:p>
          <w:p w:rsidR="00B775CF" w:rsidRDefault="00B775CF" w:rsidP="00625080">
            <w:pPr>
              <w:cnfStyle w:val="000000100000"/>
              <w:rPr>
                <w:rFonts w:ascii="Arial" w:eastAsia="Times New Roman" w:hAnsi="Arial" w:cs="Arial"/>
                <w:color w:val="000000"/>
                <w:lang w:eastAsia="es-SV"/>
              </w:rPr>
            </w:pPr>
            <w:r w:rsidRPr="00371576">
              <w:rPr>
                <w:rFonts w:ascii="Arial" w:eastAsia="Times New Roman" w:hAnsi="Arial" w:cs="Arial"/>
                <w:color w:val="000000"/>
                <w:sz w:val="24"/>
                <w:lang w:eastAsia="es-SV"/>
              </w:rPr>
              <w:t>29/Agosto/2018</w:t>
            </w:r>
          </w:p>
        </w:tc>
        <w:tc>
          <w:tcPr>
            <w:tcW w:w="1945" w:type="dxa"/>
          </w:tcPr>
          <w:p w:rsidR="00B775CF" w:rsidRDefault="00B775CF" w:rsidP="00625080">
            <w:pPr>
              <w:cnfStyle w:val="000000100000"/>
              <w:rPr>
                <w:rFonts w:ascii="Arial" w:eastAsia="Times New Roman" w:hAnsi="Arial" w:cs="Arial"/>
                <w:color w:val="000000"/>
                <w:lang w:eastAsia="es-SV"/>
              </w:rPr>
            </w:pPr>
          </w:p>
        </w:tc>
        <w:tc>
          <w:tcPr>
            <w:tcW w:w="1584" w:type="dxa"/>
          </w:tcPr>
          <w:p w:rsidR="00B775CF" w:rsidRDefault="00B775CF" w:rsidP="00625080">
            <w:pPr>
              <w:cnfStyle w:val="000000100000"/>
              <w:rPr>
                <w:rFonts w:ascii="Arial" w:eastAsia="Times New Roman" w:hAnsi="Arial" w:cs="Arial"/>
                <w:color w:val="000000"/>
                <w:lang w:eastAsia="es-SV"/>
              </w:rPr>
            </w:pPr>
          </w:p>
        </w:tc>
        <w:tc>
          <w:tcPr>
            <w:tcW w:w="1231" w:type="dxa"/>
          </w:tcPr>
          <w:p w:rsidR="00B775CF"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Reporte será publicado una vez que los eventos hayan sido realizado y la información sea recopilada para el informe.</w:t>
            </w:r>
          </w:p>
        </w:tc>
      </w:tr>
    </w:tbl>
    <w:p w:rsidR="00B775CF" w:rsidRDefault="00B775CF" w:rsidP="00B775CF"/>
    <w:p w:rsidR="00B775CF" w:rsidRDefault="00B775CF" w:rsidP="00B775CF">
      <w:pPr>
        <w:contextualSpacing/>
        <w:jc w:val="center"/>
        <w:rPr>
          <w:rFonts w:ascii="Copperplate Gothic Light" w:hAnsi="Copperplate Gothic Light"/>
          <w:b/>
          <w:sz w:val="28"/>
        </w:rPr>
      </w:pPr>
    </w:p>
    <w:p w:rsidR="00B775CF" w:rsidRDefault="00B775CF" w:rsidP="00B775CF">
      <w:pPr>
        <w:contextualSpacing/>
        <w:jc w:val="center"/>
        <w:rPr>
          <w:rFonts w:ascii="Copperplate Gothic Light" w:hAnsi="Copperplate Gothic Light"/>
          <w:b/>
          <w:sz w:val="28"/>
        </w:rPr>
      </w:pPr>
    </w:p>
    <w:p w:rsidR="00B775CF" w:rsidRDefault="00B775CF" w:rsidP="00B775CF">
      <w:pPr>
        <w:contextualSpacing/>
        <w:jc w:val="center"/>
        <w:rPr>
          <w:rFonts w:ascii="Copperplate Gothic Light" w:hAnsi="Copperplate Gothic Light"/>
          <w:b/>
          <w:sz w:val="28"/>
        </w:rPr>
      </w:pPr>
      <w:r>
        <w:rPr>
          <w:rFonts w:ascii="Copperplate Gothic Light" w:hAnsi="Copperplate Gothic Light"/>
          <w:b/>
          <w:sz w:val="28"/>
        </w:rPr>
        <w:t>Otros espacios</w:t>
      </w:r>
      <w:r w:rsidRPr="0022515D">
        <w:rPr>
          <w:rFonts w:ascii="Copperplate Gothic Light" w:hAnsi="Copperplate Gothic Light"/>
          <w:b/>
          <w:sz w:val="28"/>
        </w:rPr>
        <w:t xml:space="preserve"> de participación ciudadana</w:t>
      </w:r>
    </w:p>
    <w:p w:rsidR="00B775CF" w:rsidRDefault="00B775CF" w:rsidP="00B775CF">
      <w:pPr>
        <w:contextualSpacing/>
        <w:jc w:val="center"/>
        <w:rPr>
          <w:rFonts w:ascii="Copperplate Gothic Light" w:hAnsi="Copperplate Gothic Light"/>
          <w:b/>
          <w:sz w:val="28"/>
        </w:rPr>
      </w:pPr>
      <w:r>
        <w:rPr>
          <w:rFonts w:ascii="Copperplate Gothic Light" w:hAnsi="Copperplate Gothic Light"/>
          <w:b/>
          <w:sz w:val="28"/>
        </w:rPr>
        <w:t>Periodo de enero 2018 a marzo 2018</w:t>
      </w:r>
    </w:p>
    <w:p w:rsidR="00B775CF" w:rsidRDefault="00B775CF" w:rsidP="00B775CF">
      <w:pPr>
        <w:contextualSpacing/>
        <w:jc w:val="center"/>
        <w:rPr>
          <w:rFonts w:ascii="Copperplate Gothic Light" w:hAnsi="Copperplate Gothic Light"/>
          <w:b/>
          <w:sz w:val="28"/>
        </w:rPr>
      </w:pPr>
    </w:p>
    <w:p w:rsidR="00B775CF" w:rsidRDefault="00B775CF" w:rsidP="00B775CF">
      <w:pPr>
        <w:contextualSpacing/>
        <w:jc w:val="center"/>
        <w:rPr>
          <w:rFonts w:ascii="Copperplate Gothic Light" w:hAnsi="Copperplate Gothic Light"/>
          <w:b/>
          <w:sz w:val="28"/>
        </w:rPr>
      </w:pPr>
    </w:p>
    <w:p w:rsidR="00B775CF" w:rsidRDefault="00B775CF" w:rsidP="00B775CF">
      <w:pPr>
        <w:contextualSpacing/>
        <w:jc w:val="center"/>
        <w:rPr>
          <w:rFonts w:ascii="Copperplate Gothic Light" w:hAnsi="Copperplate Gothic Light"/>
          <w:b/>
          <w:sz w:val="28"/>
        </w:rPr>
      </w:pPr>
    </w:p>
    <w:tbl>
      <w:tblPr>
        <w:tblStyle w:val="Cuadrculamedia1-nfasis1"/>
        <w:tblW w:w="23335" w:type="dxa"/>
        <w:tblLayout w:type="fixed"/>
        <w:tblLook w:val="04A0"/>
      </w:tblPr>
      <w:tblGrid>
        <w:gridCol w:w="675"/>
        <w:gridCol w:w="2093"/>
        <w:gridCol w:w="3436"/>
        <w:gridCol w:w="3112"/>
        <w:gridCol w:w="2412"/>
        <w:gridCol w:w="3973"/>
        <w:gridCol w:w="1451"/>
        <w:gridCol w:w="1423"/>
        <w:gridCol w:w="1945"/>
        <w:gridCol w:w="1584"/>
        <w:gridCol w:w="1231"/>
      </w:tblGrid>
      <w:tr w:rsidR="00B775CF" w:rsidRPr="0022515D" w:rsidTr="00625080">
        <w:trPr>
          <w:cnfStyle w:val="100000000000"/>
          <w:trHeight w:val="600"/>
        </w:trPr>
        <w:tc>
          <w:tcPr>
            <w:cnfStyle w:val="001000000000"/>
            <w:tcW w:w="675" w:type="dxa"/>
            <w:vAlign w:val="center"/>
          </w:tcPr>
          <w:p w:rsidR="00B775CF" w:rsidRPr="0022515D" w:rsidRDefault="00B775CF" w:rsidP="00625080">
            <w:pPr>
              <w:jc w:val="center"/>
              <w:rPr>
                <w:rFonts w:ascii="Arial Black" w:eastAsia="Times New Roman" w:hAnsi="Arial Black" w:cs="Calibri"/>
                <w:color w:val="000000"/>
                <w:lang w:eastAsia="es-SV"/>
              </w:rPr>
            </w:pPr>
            <w:r>
              <w:rPr>
                <w:rFonts w:ascii="Arial Black" w:eastAsia="Times New Roman" w:hAnsi="Arial Black" w:cs="Calibri"/>
                <w:color w:val="000000"/>
                <w:lang w:eastAsia="es-SV"/>
              </w:rPr>
              <w:t>No.</w:t>
            </w:r>
          </w:p>
        </w:tc>
        <w:tc>
          <w:tcPr>
            <w:tcW w:w="2093"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Nombre</w:t>
            </w:r>
            <w:r>
              <w:rPr>
                <w:rFonts w:ascii="Arial Black" w:eastAsia="Times New Roman" w:hAnsi="Arial Black" w:cs="Calibri"/>
                <w:color w:val="000000"/>
                <w:lang w:eastAsia="es-SV"/>
              </w:rPr>
              <w:t xml:space="preserve"> del mecanismo</w:t>
            </w:r>
          </w:p>
        </w:tc>
        <w:tc>
          <w:tcPr>
            <w:tcW w:w="3436"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Objetivo</w:t>
            </w:r>
          </w:p>
        </w:tc>
        <w:tc>
          <w:tcPr>
            <w:tcW w:w="3112"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Descripción</w:t>
            </w:r>
          </w:p>
        </w:tc>
        <w:tc>
          <w:tcPr>
            <w:tcW w:w="2412"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Requisitos de participación</w:t>
            </w:r>
          </w:p>
        </w:tc>
        <w:tc>
          <w:tcPr>
            <w:tcW w:w="3973" w:type="dxa"/>
            <w:noWrap/>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Resultado</w:t>
            </w:r>
          </w:p>
        </w:tc>
        <w:tc>
          <w:tcPr>
            <w:tcW w:w="1451" w:type="dxa"/>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Fecha de inicio de ejecución</w:t>
            </w:r>
          </w:p>
        </w:tc>
        <w:tc>
          <w:tcPr>
            <w:tcW w:w="1423" w:type="dxa"/>
            <w:vAlign w:val="center"/>
            <w:hideMark/>
          </w:tcPr>
          <w:p w:rsidR="00B775CF" w:rsidRPr="0022515D" w:rsidRDefault="00B775CF" w:rsidP="00625080">
            <w:pPr>
              <w:jc w:val="center"/>
              <w:cnfStyle w:val="100000000000"/>
              <w:rPr>
                <w:rFonts w:ascii="Arial Black" w:eastAsia="Times New Roman" w:hAnsi="Arial Black" w:cs="Calibri"/>
                <w:color w:val="000000"/>
                <w:lang w:eastAsia="es-SV"/>
              </w:rPr>
            </w:pPr>
            <w:r w:rsidRPr="0022515D">
              <w:rPr>
                <w:rFonts w:ascii="Arial Black" w:eastAsia="Times New Roman" w:hAnsi="Arial Black" w:cs="Calibri"/>
                <w:color w:val="000000"/>
                <w:lang w:eastAsia="es-SV"/>
              </w:rPr>
              <w:t>Fecha de fin de ejecución</w:t>
            </w:r>
          </w:p>
        </w:tc>
        <w:tc>
          <w:tcPr>
            <w:tcW w:w="1945" w:type="dxa"/>
            <w:vAlign w:val="center"/>
          </w:tcPr>
          <w:p w:rsidR="00B775CF" w:rsidRPr="0022515D" w:rsidRDefault="00B775CF" w:rsidP="00625080">
            <w:pPr>
              <w:jc w:val="center"/>
              <w:cnfStyle w:val="100000000000"/>
              <w:rPr>
                <w:rFonts w:ascii="Arial Black" w:eastAsia="Times New Roman" w:hAnsi="Arial Black" w:cs="Calibri"/>
                <w:color w:val="000000"/>
                <w:lang w:eastAsia="es-SV"/>
              </w:rPr>
            </w:pPr>
            <w:r>
              <w:rPr>
                <w:rFonts w:ascii="Arial Black" w:eastAsia="Times New Roman" w:hAnsi="Arial Black" w:cs="Calibri"/>
                <w:color w:val="000000"/>
                <w:lang w:eastAsia="es-SV"/>
              </w:rPr>
              <w:t>Cantidad de Participantes</w:t>
            </w:r>
          </w:p>
        </w:tc>
        <w:tc>
          <w:tcPr>
            <w:tcW w:w="1584" w:type="dxa"/>
            <w:vAlign w:val="center"/>
          </w:tcPr>
          <w:p w:rsidR="00B775CF" w:rsidRPr="0022515D" w:rsidRDefault="00B775CF" w:rsidP="00625080">
            <w:pPr>
              <w:jc w:val="center"/>
              <w:cnfStyle w:val="100000000000"/>
              <w:rPr>
                <w:rFonts w:ascii="Arial Black" w:eastAsia="Times New Roman" w:hAnsi="Arial Black" w:cs="Calibri"/>
                <w:color w:val="000000"/>
                <w:lang w:eastAsia="es-SV"/>
              </w:rPr>
            </w:pPr>
            <w:r>
              <w:rPr>
                <w:rFonts w:ascii="Arial Black" w:eastAsia="Times New Roman" w:hAnsi="Arial Black" w:cs="Calibri"/>
                <w:color w:val="000000"/>
                <w:lang w:eastAsia="es-SV"/>
              </w:rPr>
              <w:t>Género (H/M)</w:t>
            </w:r>
          </w:p>
        </w:tc>
        <w:tc>
          <w:tcPr>
            <w:tcW w:w="1231" w:type="dxa"/>
          </w:tcPr>
          <w:p w:rsidR="00B775CF" w:rsidRDefault="00B775CF" w:rsidP="00625080">
            <w:pPr>
              <w:jc w:val="center"/>
              <w:cnfStyle w:val="100000000000"/>
              <w:rPr>
                <w:rFonts w:ascii="Arial Black" w:eastAsia="Times New Roman" w:hAnsi="Arial Black" w:cs="Calibri"/>
                <w:color w:val="000000"/>
                <w:lang w:eastAsia="es-SV"/>
              </w:rPr>
            </w:pPr>
            <w:r>
              <w:rPr>
                <w:rFonts w:ascii="Arial Black" w:eastAsia="Times New Roman" w:hAnsi="Arial Black" w:cs="Calibri"/>
                <w:color w:val="000000"/>
                <w:lang w:eastAsia="es-SV"/>
              </w:rPr>
              <w:t>Reporte</w:t>
            </w:r>
          </w:p>
        </w:tc>
      </w:tr>
      <w:tr w:rsidR="00B775CF" w:rsidRPr="0022515D" w:rsidTr="00625080">
        <w:trPr>
          <w:cnfStyle w:val="000000100000"/>
          <w:trHeight w:val="300"/>
        </w:trPr>
        <w:tc>
          <w:tcPr>
            <w:cnfStyle w:val="001000000000"/>
            <w:tcW w:w="675" w:type="dxa"/>
            <w:vAlign w:val="center"/>
          </w:tcPr>
          <w:p w:rsidR="00B775CF" w:rsidRPr="00371576" w:rsidRDefault="00B775CF" w:rsidP="00625080">
            <w:pPr>
              <w:jc w:val="center"/>
              <w:rPr>
                <w:rFonts w:ascii="Arial" w:eastAsia="Times New Roman" w:hAnsi="Arial" w:cs="Arial"/>
                <w:color w:val="000000"/>
                <w:sz w:val="24"/>
                <w:lang w:eastAsia="es-SV"/>
              </w:rPr>
            </w:pPr>
            <w:r w:rsidRPr="00371576">
              <w:rPr>
                <w:rFonts w:ascii="Arial" w:eastAsia="Times New Roman" w:hAnsi="Arial" w:cs="Arial"/>
                <w:color w:val="000000"/>
                <w:sz w:val="24"/>
                <w:lang w:eastAsia="es-SV"/>
              </w:rPr>
              <w:t>1</w:t>
            </w:r>
          </w:p>
        </w:tc>
        <w:tc>
          <w:tcPr>
            <w:tcW w:w="209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 </w:t>
            </w:r>
          </w:p>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Iniciativas o acciones Institucionales impulsadas en las áreas de prevención de la violencia.</w:t>
            </w:r>
          </w:p>
          <w:p w:rsidR="00B775CF" w:rsidRPr="00371576" w:rsidRDefault="00B775CF" w:rsidP="00625080">
            <w:pPr>
              <w:cnfStyle w:val="000000100000"/>
              <w:rPr>
                <w:rFonts w:ascii="Arial" w:eastAsia="Times New Roman" w:hAnsi="Arial" w:cs="Arial"/>
                <w:color w:val="000000"/>
                <w:sz w:val="24"/>
                <w:lang w:eastAsia="es-SV"/>
              </w:rPr>
            </w:pPr>
          </w:p>
        </w:tc>
        <w:tc>
          <w:tcPr>
            <w:tcW w:w="3436"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 Apoyar a las iniciativas o acciones institucionales impulsadas en las áreas de prevención de la violencia.</w:t>
            </w:r>
          </w:p>
        </w:tc>
        <w:tc>
          <w:tcPr>
            <w:tcW w:w="3112"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Talleres sobre normativas para la promoción de la igualdad de género en la institución, así mismo se conmemoraron fechas importantes sobre temas de género e inclusión.</w:t>
            </w:r>
          </w:p>
        </w:tc>
        <w:tc>
          <w:tcPr>
            <w:tcW w:w="2412"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Participación de todas las sustantivas que conforman el Centro Nacional de Registros (CNR).</w:t>
            </w:r>
          </w:p>
        </w:tc>
        <w:tc>
          <w:tcPr>
            <w:tcW w:w="397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 xml:space="preserve">Durante el periodo de enero a mayo del año 2018 se realizaron cuatro talleres denominados: “Masculinidades no violentas”, “inclusión social y expresiones de discriminación”, y “normativas para la igualdad de género”. </w:t>
            </w:r>
          </w:p>
        </w:tc>
        <w:tc>
          <w:tcPr>
            <w:tcW w:w="1451" w:type="dxa"/>
            <w:noWrap/>
            <w:hideMark/>
          </w:tcPr>
          <w:p w:rsidR="00B775CF" w:rsidRPr="0022515D"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Enero-2018</w:t>
            </w:r>
          </w:p>
        </w:tc>
        <w:tc>
          <w:tcPr>
            <w:tcW w:w="1423" w:type="dxa"/>
            <w:noWrap/>
            <w:hideMark/>
          </w:tcPr>
          <w:p w:rsidR="00B775CF" w:rsidRPr="0022515D"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Mayo-2018</w:t>
            </w:r>
          </w:p>
        </w:tc>
        <w:tc>
          <w:tcPr>
            <w:tcW w:w="1945" w:type="dxa"/>
          </w:tcPr>
          <w:p w:rsidR="00B775CF" w:rsidRPr="0022515D"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Un total de 349 personas participantes en las actividades.</w:t>
            </w:r>
          </w:p>
        </w:tc>
        <w:tc>
          <w:tcPr>
            <w:tcW w:w="1584" w:type="dxa"/>
          </w:tcPr>
          <w:p w:rsidR="00B775CF" w:rsidRPr="0022515D"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Participaron 173 mujeres y 176 hombres,</w:t>
            </w:r>
          </w:p>
        </w:tc>
        <w:tc>
          <w:tcPr>
            <w:tcW w:w="1231" w:type="dxa"/>
          </w:tcPr>
          <w:p w:rsidR="00B775CF" w:rsidRDefault="00CB0C1F" w:rsidP="00625080">
            <w:pPr>
              <w:cnfStyle w:val="000000100000"/>
              <w:rPr>
                <w:rFonts w:ascii="Arial" w:eastAsia="Times New Roman" w:hAnsi="Arial" w:cs="Arial"/>
                <w:color w:val="000000"/>
                <w:lang w:eastAsia="es-SV"/>
              </w:rPr>
            </w:pPr>
            <w:hyperlink r:id="rId6" w:tooltip="Descargar documento" w:history="1">
              <w:r w:rsidR="00B775CF" w:rsidRPr="00162F98">
                <w:rPr>
                  <w:rStyle w:val="Hipervnculo"/>
                  <w:rFonts w:ascii="Arial" w:eastAsia="Times New Roman" w:hAnsi="Arial" w:cs="Arial"/>
                  <w:lang w:eastAsia="es-SV"/>
                </w:rPr>
                <w:t>Descargar reporte</w:t>
              </w:r>
            </w:hyperlink>
          </w:p>
        </w:tc>
      </w:tr>
      <w:tr w:rsidR="00B775CF" w:rsidRPr="0022515D" w:rsidTr="00625080">
        <w:trPr>
          <w:trHeight w:val="300"/>
        </w:trPr>
        <w:tc>
          <w:tcPr>
            <w:cnfStyle w:val="001000000000"/>
            <w:tcW w:w="675" w:type="dxa"/>
            <w:vAlign w:val="center"/>
          </w:tcPr>
          <w:p w:rsidR="00B775CF" w:rsidRPr="00371576" w:rsidRDefault="00385084" w:rsidP="00625080">
            <w:pPr>
              <w:jc w:val="center"/>
              <w:rPr>
                <w:rFonts w:ascii="Arial" w:eastAsia="Times New Roman" w:hAnsi="Arial" w:cs="Arial"/>
                <w:color w:val="000000"/>
                <w:sz w:val="24"/>
                <w:lang w:eastAsia="es-SV"/>
              </w:rPr>
            </w:pPr>
            <w:r>
              <w:rPr>
                <w:rFonts w:ascii="Arial" w:eastAsia="Times New Roman" w:hAnsi="Arial" w:cs="Arial"/>
                <w:color w:val="000000"/>
                <w:sz w:val="24"/>
                <w:lang w:eastAsia="es-SV"/>
              </w:rPr>
              <w:lastRenderedPageBreak/>
              <w:t>2</w:t>
            </w:r>
          </w:p>
        </w:tc>
        <w:tc>
          <w:tcPr>
            <w:tcW w:w="2093"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Audiencias públicas de propiedad intelectual</w:t>
            </w:r>
          </w:p>
          <w:p w:rsidR="00B775CF" w:rsidRPr="00371576" w:rsidRDefault="00B775CF" w:rsidP="00625080">
            <w:pPr>
              <w:cnfStyle w:val="000000000000"/>
              <w:rPr>
                <w:rFonts w:ascii="Arial" w:eastAsia="Times New Roman" w:hAnsi="Arial" w:cs="Arial"/>
                <w:color w:val="000000"/>
                <w:sz w:val="24"/>
                <w:lang w:eastAsia="es-SV"/>
              </w:rPr>
            </w:pPr>
          </w:p>
        </w:tc>
        <w:tc>
          <w:tcPr>
            <w:tcW w:w="3436"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Informar y desarrollar los temas sobre:</w:t>
            </w:r>
          </w:p>
          <w:p w:rsidR="00B775CF" w:rsidRPr="00371576" w:rsidRDefault="00B775CF" w:rsidP="00625080">
            <w:pPr>
              <w:cnfStyle w:val="000000000000"/>
              <w:rPr>
                <w:rFonts w:ascii="Calibri" w:eastAsia="Calibri" w:hAnsi="Calibri" w:cs="Calibri"/>
                <w:color w:val="000000"/>
                <w:sz w:val="24"/>
              </w:rPr>
            </w:pPr>
            <w:r w:rsidRPr="00371576">
              <w:rPr>
                <w:rFonts w:ascii="Calibri" w:eastAsia="Calibri" w:hAnsi="Calibri" w:cs="Calibri"/>
                <w:color w:val="000000"/>
                <w:sz w:val="24"/>
              </w:rPr>
              <w:t>Criterios registrales.</w:t>
            </w:r>
          </w:p>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Observancia de la propiedad intelectual.</w:t>
            </w:r>
          </w:p>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Propiedad intelectual, turismo y cultura.</w:t>
            </w:r>
          </w:p>
        </w:tc>
        <w:tc>
          <w:tcPr>
            <w:tcW w:w="3112"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Calibri" w:hAnsi="Arial" w:cs="Arial"/>
                <w:color w:val="000000"/>
                <w:sz w:val="24"/>
              </w:rPr>
              <w:t>Espacios de información y discusión donde se pretende colaborar en la creación de una cultura que fomente el respeto a los derechos de Propiedad Intelectual y a establecer una adecuada coordinación y articulación interinstitucional, que permita el fortalecimiento empresarial y la creación de empresas, fortaleciendo programas de sensibilización en materia de propiedad intelectual.</w:t>
            </w:r>
          </w:p>
        </w:tc>
        <w:tc>
          <w:tcPr>
            <w:tcW w:w="2412"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Ser parte de Instituciones públicas, privadas, educativas vinculadas al tema y titulares de los derechos de propiedad intelectual</w:t>
            </w:r>
          </w:p>
        </w:tc>
        <w:tc>
          <w:tcPr>
            <w:tcW w:w="3973" w:type="dxa"/>
            <w:noWrap/>
            <w:hideMark/>
          </w:tcPr>
          <w:p w:rsidR="00B775CF"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En total se realizaron 3 Audiencias Públicas en las que se dirigió a personal de la Fiscalía General de la República (FGR), Policía Nacional Civil (PNC), Dirección General de Aduanas (DGA), Superintendencia de Competencia (SC), Universidad de Oriente (UNIVO), Embajada de los Estados Unidos de América, Cámara Americana de Comercio de El Salvador (AmCham), Registro de la Propiedad Intelectual del CNR, Asociación Salvadoreña de Propiedad Intelectual (ASPI).</w:t>
            </w:r>
          </w:p>
          <w:p w:rsidR="00B775CF" w:rsidRDefault="00B775CF" w:rsidP="00625080">
            <w:pPr>
              <w:cnfStyle w:val="000000000000"/>
              <w:rPr>
                <w:rFonts w:ascii="Arial" w:eastAsia="Times New Roman" w:hAnsi="Arial" w:cs="Arial"/>
                <w:color w:val="000000"/>
                <w:sz w:val="24"/>
                <w:lang w:eastAsia="es-SV"/>
              </w:rPr>
            </w:pPr>
          </w:p>
          <w:p w:rsidR="00B775CF" w:rsidRPr="00371576" w:rsidRDefault="00B775CF" w:rsidP="00625080">
            <w:pPr>
              <w:cnfStyle w:val="000000000000"/>
              <w:rPr>
                <w:rFonts w:ascii="Arial" w:eastAsia="Times New Roman" w:hAnsi="Arial" w:cs="Arial"/>
                <w:color w:val="000000"/>
                <w:sz w:val="24"/>
                <w:lang w:eastAsia="es-SV"/>
              </w:rPr>
            </w:pPr>
          </w:p>
        </w:tc>
        <w:tc>
          <w:tcPr>
            <w:tcW w:w="1451" w:type="dxa"/>
            <w:noWrap/>
            <w:hideMark/>
          </w:tcPr>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Enero del 2018</w:t>
            </w:r>
          </w:p>
        </w:tc>
        <w:tc>
          <w:tcPr>
            <w:tcW w:w="1423" w:type="dxa"/>
            <w:noWrap/>
            <w:hideMark/>
          </w:tcPr>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Mayo del 2018</w:t>
            </w:r>
          </w:p>
        </w:tc>
        <w:tc>
          <w:tcPr>
            <w:tcW w:w="1945" w:type="dxa"/>
          </w:tcPr>
          <w:p w:rsidR="00B775CF" w:rsidRPr="0022515D" w:rsidRDefault="00B775CF" w:rsidP="00625080">
            <w:pPr>
              <w:cnfStyle w:val="000000000000"/>
              <w:rPr>
                <w:rFonts w:ascii="Arial" w:eastAsia="Times New Roman" w:hAnsi="Arial" w:cs="Arial"/>
                <w:color w:val="000000"/>
                <w:lang w:eastAsia="es-SV"/>
              </w:rPr>
            </w:pPr>
            <w:r>
              <w:rPr>
                <w:rFonts w:ascii="Calibri" w:eastAsia="Calibri" w:hAnsi="Calibri" w:cs="Calibri"/>
                <w:color w:val="000000"/>
              </w:rPr>
              <w:t>160</w:t>
            </w:r>
            <w:r w:rsidRPr="00A6534C">
              <w:rPr>
                <w:rFonts w:ascii="Calibri" w:eastAsia="Calibri" w:hAnsi="Calibri" w:cs="Calibri"/>
                <w:color w:val="000000"/>
              </w:rPr>
              <w:t xml:space="preserve"> participantes</w:t>
            </w:r>
          </w:p>
        </w:tc>
        <w:tc>
          <w:tcPr>
            <w:tcW w:w="1584" w:type="dxa"/>
          </w:tcPr>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98 mujeres 62 hombres</w:t>
            </w:r>
          </w:p>
        </w:tc>
        <w:tc>
          <w:tcPr>
            <w:tcW w:w="1231" w:type="dxa"/>
          </w:tcPr>
          <w:p w:rsidR="00B775CF" w:rsidRPr="0022515D" w:rsidRDefault="00CB0C1F" w:rsidP="00625080">
            <w:pPr>
              <w:cnfStyle w:val="000000000000"/>
              <w:rPr>
                <w:rFonts w:ascii="Arial" w:eastAsia="Times New Roman" w:hAnsi="Arial" w:cs="Arial"/>
                <w:color w:val="000000"/>
                <w:lang w:eastAsia="es-SV"/>
              </w:rPr>
            </w:pPr>
            <w:hyperlink r:id="rId7" w:tooltip="Descargar documento" w:history="1">
              <w:r w:rsidR="00B775CF" w:rsidRPr="00FC78A9">
                <w:rPr>
                  <w:rStyle w:val="Hipervnculo"/>
                  <w:rFonts w:ascii="Arial" w:eastAsia="Times New Roman" w:hAnsi="Arial" w:cs="Arial"/>
                  <w:lang w:eastAsia="es-SV"/>
                </w:rPr>
                <w:t>Descargar reporte</w:t>
              </w:r>
            </w:hyperlink>
          </w:p>
        </w:tc>
      </w:tr>
      <w:tr w:rsidR="00B775CF" w:rsidRPr="0022515D" w:rsidTr="00625080">
        <w:trPr>
          <w:cnfStyle w:val="000000100000"/>
          <w:trHeight w:val="300"/>
        </w:trPr>
        <w:tc>
          <w:tcPr>
            <w:cnfStyle w:val="001000000000"/>
            <w:tcW w:w="675" w:type="dxa"/>
            <w:vAlign w:val="center"/>
          </w:tcPr>
          <w:p w:rsidR="00B775CF" w:rsidRPr="00371576" w:rsidRDefault="00B775CF" w:rsidP="00625080">
            <w:pPr>
              <w:jc w:val="center"/>
              <w:rPr>
                <w:rFonts w:ascii="Arial" w:eastAsia="Times New Roman" w:hAnsi="Arial" w:cs="Arial"/>
                <w:color w:val="000000"/>
                <w:sz w:val="24"/>
                <w:lang w:eastAsia="es-SV"/>
              </w:rPr>
            </w:pPr>
            <w:r w:rsidRPr="00371576">
              <w:rPr>
                <w:rFonts w:ascii="Arial" w:eastAsia="Times New Roman" w:hAnsi="Arial" w:cs="Arial"/>
                <w:color w:val="000000"/>
                <w:sz w:val="24"/>
                <w:lang w:eastAsia="es-SV"/>
              </w:rPr>
              <w:t>3</w:t>
            </w:r>
          </w:p>
        </w:tc>
        <w:tc>
          <w:tcPr>
            <w:tcW w:w="209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Iniciativas coordinadas con asambleas ciudadanas a nivel territorial.</w:t>
            </w:r>
          </w:p>
        </w:tc>
        <w:tc>
          <w:tcPr>
            <w:tcW w:w="3436"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Conocer la problemática de la legalización de sus lotes de las comunidades de más de 15 municipios del departamento de San Salvador.</w:t>
            </w:r>
          </w:p>
        </w:tc>
        <w:tc>
          <w:tcPr>
            <w:tcW w:w="3112"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Se realiza acercamiento a la comunidad para conocer sus problemas y orientar sobre los mecanismos a utilizar para resolver sus problemas de Lotificación.</w:t>
            </w:r>
          </w:p>
        </w:tc>
        <w:tc>
          <w:tcPr>
            <w:tcW w:w="2412"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Ser parte de las comunidades de los municipios de: Santiago Texacuangos, Nejapa, Cuscatancingo, San Martín, Santo Tomas, Ilopango, San Bartolo,  Panchimalco, S.S.</w:t>
            </w:r>
          </w:p>
        </w:tc>
        <w:tc>
          <w:tcPr>
            <w:tcW w:w="3973" w:type="dxa"/>
            <w:noWrap/>
            <w:hideMark/>
          </w:tcPr>
          <w:p w:rsidR="00B775CF" w:rsidRPr="00371576" w:rsidRDefault="00B775CF" w:rsidP="00625080">
            <w:pPr>
              <w:cnfStyle w:val="0000001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Se realizaron 2 reuniones con líderes de las Comunidad para brindar avances en la problemática de legalización y registro de sus terrenos habitacionales además se brindó asesoría sobre procesos jurídicos y técnicos.</w:t>
            </w:r>
          </w:p>
        </w:tc>
        <w:tc>
          <w:tcPr>
            <w:tcW w:w="1451" w:type="dxa"/>
            <w:noWrap/>
            <w:hideMark/>
          </w:tcPr>
          <w:p w:rsidR="00B775CF"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28 de febrero del 2018.</w:t>
            </w:r>
          </w:p>
          <w:p w:rsidR="00B775CF" w:rsidRPr="0022515D" w:rsidRDefault="00B775CF" w:rsidP="00625080">
            <w:pPr>
              <w:cnfStyle w:val="000000100000"/>
              <w:rPr>
                <w:rFonts w:ascii="Arial" w:eastAsia="Times New Roman" w:hAnsi="Arial" w:cs="Arial"/>
                <w:color w:val="000000"/>
                <w:lang w:eastAsia="es-SV"/>
              </w:rPr>
            </w:pPr>
          </w:p>
        </w:tc>
        <w:tc>
          <w:tcPr>
            <w:tcW w:w="1423" w:type="dxa"/>
            <w:noWrap/>
            <w:hideMark/>
          </w:tcPr>
          <w:p w:rsidR="00B775CF"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28 de febrero del 2018.</w:t>
            </w:r>
          </w:p>
          <w:p w:rsidR="00B775CF" w:rsidRPr="0022515D" w:rsidRDefault="00B775CF" w:rsidP="00625080">
            <w:pPr>
              <w:cnfStyle w:val="000000100000"/>
              <w:rPr>
                <w:rFonts w:ascii="Arial" w:eastAsia="Times New Roman" w:hAnsi="Arial" w:cs="Arial"/>
                <w:color w:val="000000"/>
                <w:lang w:eastAsia="es-SV"/>
              </w:rPr>
            </w:pPr>
          </w:p>
        </w:tc>
        <w:tc>
          <w:tcPr>
            <w:tcW w:w="1945" w:type="dxa"/>
          </w:tcPr>
          <w:p w:rsidR="00B775CF" w:rsidRPr="0022515D"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94 participantes</w:t>
            </w:r>
          </w:p>
        </w:tc>
        <w:tc>
          <w:tcPr>
            <w:tcW w:w="1584" w:type="dxa"/>
          </w:tcPr>
          <w:p w:rsidR="00B775CF"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47 mujeres</w:t>
            </w:r>
          </w:p>
          <w:p w:rsidR="00B775CF" w:rsidRPr="0022515D" w:rsidRDefault="00B775CF" w:rsidP="00625080">
            <w:pPr>
              <w:cnfStyle w:val="000000100000"/>
              <w:rPr>
                <w:rFonts w:ascii="Arial" w:eastAsia="Times New Roman" w:hAnsi="Arial" w:cs="Arial"/>
                <w:color w:val="000000"/>
                <w:lang w:eastAsia="es-SV"/>
              </w:rPr>
            </w:pPr>
            <w:r>
              <w:rPr>
                <w:rFonts w:ascii="Arial" w:eastAsia="Times New Roman" w:hAnsi="Arial" w:cs="Arial"/>
                <w:color w:val="000000"/>
                <w:lang w:eastAsia="es-SV"/>
              </w:rPr>
              <w:t>47 hombres</w:t>
            </w:r>
          </w:p>
        </w:tc>
        <w:tc>
          <w:tcPr>
            <w:tcW w:w="1231" w:type="dxa"/>
          </w:tcPr>
          <w:p w:rsidR="00B775CF" w:rsidRPr="0022515D" w:rsidRDefault="00CB0C1F" w:rsidP="00625080">
            <w:pPr>
              <w:cnfStyle w:val="000000100000"/>
              <w:rPr>
                <w:rFonts w:ascii="Arial" w:eastAsia="Times New Roman" w:hAnsi="Arial" w:cs="Arial"/>
                <w:color w:val="000000"/>
                <w:lang w:eastAsia="es-SV"/>
              </w:rPr>
            </w:pPr>
            <w:hyperlink r:id="rId8" w:tooltip="Descargar documento" w:history="1">
              <w:r w:rsidR="00B775CF" w:rsidRPr="00AF5804">
                <w:rPr>
                  <w:rStyle w:val="Hipervnculo"/>
                  <w:rFonts w:ascii="Arial" w:eastAsia="Times New Roman" w:hAnsi="Arial" w:cs="Arial"/>
                  <w:lang w:eastAsia="es-SV"/>
                </w:rPr>
                <w:t>Descargar reporte</w:t>
              </w:r>
            </w:hyperlink>
          </w:p>
        </w:tc>
      </w:tr>
      <w:tr w:rsidR="00B775CF" w:rsidRPr="0022515D" w:rsidTr="00625080">
        <w:trPr>
          <w:trHeight w:val="300"/>
        </w:trPr>
        <w:tc>
          <w:tcPr>
            <w:cnfStyle w:val="001000000000"/>
            <w:tcW w:w="675" w:type="dxa"/>
            <w:vAlign w:val="center"/>
          </w:tcPr>
          <w:p w:rsidR="00B775CF" w:rsidRPr="00371576" w:rsidRDefault="00385084" w:rsidP="00625080">
            <w:pPr>
              <w:jc w:val="center"/>
              <w:rPr>
                <w:rFonts w:ascii="Arial" w:eastAsia="Times New Roman" w:hAnsi="Arial" w:cs="Arial"/>
                <w:color w:val="000000"/>
                <w:sz w:val="24"/>
                <w:lang w:eastAsia="es-SV"/>
              </w:rPr>
            </w:pPr>
            <w:r>
              <w:rPr>
                <w:rFonts w:ascii="Arial" w:eastAsia="Times New Roman" w:hAnsi="Arial" w:cs="Arial"/>
                <w:color w:val="000000"/>
                <w:sz w:val="24"/>
                <w:lang w:eastAsia="es-SV"/>
              </w:rPr>
              <w:t>4</w:t>
            </w:r>
          </w:p>
        </w:tc>
        <w:tc>
          <w:tcPr>
            <w:tcW w:w="2093"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Participación de ferias y festivales del buen vivir</w:t>
            </w:r>
          </w:p>
        </w:tc>
        <w:tc>
          <w:tcPr>
            <w:tcW w:w="3436"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Acercar los servicios del Centro Nacional de Registros a la población en general</w:t>
            </w:r>
          </w:p>
        </w:tc>
        <w:tc>
          <w:tcPr>
            <w:tcW w:w="3112"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En el acercamiento a la ciudadanía, se colabora con  llevar material informativo de nuestros servicios y se da atención personalizada a consultas y asesorías.</w:t>
            </w:r>
          </w:p>
        </w:tc>
        <w:tc>
          <w:tcPr>
            <w:tcW w:w="2412" w:type="dxa"/>
            <w:noWrap/>
            <w:hideMark/>
          </w:tcPr>
          <w:p w:rsidR="00B775CF" w:rsidRPr="00371576" w:rsidRDefault="00B775CF" w:rsidP="00625080">
            <w:pPr>
              <w:cnfStyle w:val="000000000000"/>
              <w:rPr>
                <w:rFonts w:ascii="Arial" w:eastAsia="Times New Roman" w:hAnsi="Arial" w:cs="Arial"/>
                <w:color w:val="000000"/>
                <w:sz w:val="24"/>
                <w:lang w:eastAsia="es-SV"/>
              </w:rPr>
            </w:pPr>
            <w:r w:rsidRPr="00371576">
              <w:rPr>
                <w:rFonts w:ascii="Arial" w:eastAsia="Times New Roman" w:hAnsi="Arial" w:cs="Arial"/>
                <w:color w:val="000000"/>
                <w:sz w:val="24"/>
                <w:lang w:eastAsia="es-SV"/>
              </w:rPr>
              <w:t>Evento realizado para todas las personas.</w:t>
            </w:r>
          </w:p>
        </w:tc>
        <w:tc>
          <w:tcPr>
            <w:tcW w:w="3973" w:type="dxa"/>
            <w:noWrap/>
            <w:hideMark/>
          </w:tcPr>
          <w:p w:rsidR="00B775CF" w:rsidRPr="00371576" w:rsidRDefault="00B775CF" w:rsidP="00625080">
            <w:pPr>
              <w:cnfStyle w:val="000000000000"/>
              <w:rPr>
                <w:rFonts w:ascii="Arial" w:eastAsia="Times New Roman" w:hAnsi="Arial" w:cs="Arial"/>
                <w:color w:val="000000"/>
                <w:sz w:val="24"/>
                <w:lang w:eastAsia="es-SV"/>
              </w:rPr>
            </w:pPr>
            <w:r>
              <w:rPr>
                <w:rFonts w:ascii="Arial" w:eastAsia="Times New Roman" w:hAnsi="Arial" w:cs="Arial"/>
                <w:color w:val="000000"/>
                <w:sz w:val="24"/>
                <w:lang w:eastAsia="es-SV"/>
              </w:rPr>
              <w:t>En los festivales que se participó se dio atención a 27 mujeres y 14 hombres</w:t>
            </w:r>
          </w:p>
        </w:tc>
        <w:tc>
          <w:tcPr>
            <w:tcW w:w="1451" w:type="dxa"/>
            <w:noWrap/>
            <w:hideMark/>
          </w:tcPr>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Enero 2018</w:t>
            </w:r>
          </w:p>
        </w:tc>
        <w:tc>
          <w:tcPr>
            <w:tcW w:w="1423" w:type="dxa"/>
            <w:noWrap/>
            <w:hideMark/>
          </w:tcPr>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Mayo 2018</w:t>
            </w:r>
          </w:p>
        </w:tc>
        <w:tc>
          <w:tcPr>
            <w:tcW w:w="1945" w:type="dxa"/>
          </w:tcPr>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128 Participantes</w:t>
            </w:r>
          </w:p>
        </w:tc>
        <w:tc>
          <w:tcPr>
            <w:tcW w:w="1584" w:type="dxa"/>
          </w:tcPr>
          <w:p w:rsidR="00B775CF"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69 mujeres</w:t>
            </w:r>
          </w:p>
          <w:p w:rsidR="00B775CF" w:rsidRPr="0022515D" w:rsidRDefault="00B775CF" w:rsidP="00625080">
            <w:pPr>
              <w:cnfStyle w:val="000000000000"/>
              <w:rPr>
                <w:rFonts w:ascii="Arial" w:eastAsia="Times New Roman" w:hAnsi="Arial" w:cs="Arial"/>
                <w:color w:val="000000"/>
                <w:lang w:eastAsia="es-SV"/>
              </w:rPr>
            </w:pPr>
            <w:r>
              <w:rPr>
                <w:rFonts w:ascii="Arial" w:eastAsia="Times New Roman" w:hAnsi="Arial" w:cs="Arial"/>
                <w:color w:val="000000"/>
                <w:lang w:eastAsia="es-SV"/>
              </w:rPr>
              <w:t>59 hombres</w:t>
            </w:r>
          </w:p>
        </w:tc>
        <w:tc>
          <w:tcPr>
            <w:tcW w:w="1231" w:type="dxa"/>
          </w:tcPr>
          <w:p w:rsidR="00B775CF" w:rsidRPr="0022515D" w:rsidRDefault="00CB0C1F" w:rsidP="00625080">
            <w:pPr>
              <w:cnfStyle w:val="000000000000"/>
              <w:rPr>
                <w:rFonts w:ascii="Arial" w:eastAsia="Times New Roman" w:hAnsi="Arial" w:cs="Arial"/>
                <w:color w:val="000000"/>
                <w:lang w:eastAsia="es-SV"/>
              </w:rPr>
            </w:pPr>
            <w:hyperlink r:id="rId9" w:tooltip="Descargar documento" w:history="1">
              <w:r w:rsidR="00B775CF" w:rsidRPr="00C5756B">
                <w:rPr>
                  <w:rStyle w:val="Hipervnculo"/>
                  <w:rFonts w:ascii="Arial" w:eastAsia="Times New Roman" w:hAnsi="Arial" w:cs="Arial"/>
                  <w:lang w:eastAsia="es-SV"/>
                </w:rPr>
                <w:t>Descargar reporte</w:t>
              </w:r>
            </w:hyperlink>
          </w:p>
        </w:tc>
      </w:tr>
    </w:tbl>
    <w:p w:rsidR="00B775CF" w:rsidRDefault="00B775CF" w:rsidP="00B775CF"/>
    <w:p w:rsidR="00B775CF" w:rsidRDefault="00B775CF" w:rsidP="00B775CF"/>
    <w:p w:rsidR="00B775CF" w:rsidRDefault="00B775CF" w:rsidP="00B775CF"/>
    <w:p w:rsidR="00B775CF" w:rsidRDefault="00B775CF" w:rsidP="00B775CF"/>
    <w:p w:rsidR="00B775CF" w:rsidRDefault="00B775CF" w:rsidP="00B775CF"/>
    <w:sectPr w:rsidR="00B775CF" w:rsidSect="009C1E79">
      <w:headerReference w:type="default" r:id="rId10"/>
      <w:pgSz w:w="24480" w:h="15840" w:orient="landscape" w:code="17"/>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426" w:rsidRDefault="00D12426" w:rsidP="00CB0C1F">
      <w:pPr>
        <w:spacing w:after="0" w:line="240" w:lineRule="auto"/>
      </w:pPr>
      <w:r>
        <w:separator/>
      </w:r>
    </w:p>
  </w:endnote>
  <w:endnote w:type="continuationSeparator" w:id="1">
    <w:p w:rsidR="00D12426" w:rsidRDefault="00D12426" w:rsidP="00CB0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426" w:rsidRDefault="00D12426" w:rsidP="00CB0C1F">
      <w:pPr>
        <w:spacing w:after="0" w:line="240" w:lineRule="auto"/>
      </w:pPr>
      <w:r>
        <w:separator/>
      </w:r>
    </w:p>
  </w:footnote>
  <w:footnote w:type="continuationSeparator" w:id="1">
    <w:p w:rsidR="00D12426" w:rsidRDefault="00D12426" w:rsidP="00CB0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21" w:rsidRDefault="00B775CF">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6207760</wp:posOffset>
          </wp:positionH>
          <wp:positionV relativeFrom="paragraph">
            <wp:posOffset>-364490</wp:posOffset>
          </wp:positionV>
          <wp:extent cx="1959610" cy="477520"/>
          <wp:effectExtent l="19050" t="0" r="2540" b="0"/>
          <wp:wrapSquare wrapText="bothSides"/>
          <wp:docPr id="2" name="Imagen 1" descr="1 - Logo CNR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 Logo CNR - Color"/>
                  <pic:cNvPicPr>
                    <a:picLocks noChangeAspect="1" noChangeArrowheads="1"/>
                  </pic:cNvPicPr>
                </pic:nvPicPr>
                <pic:blipFill>
                  <a:blip r:embed="rId1"/>
                  <a:srcRect t="6429" b="6667"/>
                  <a:stretch>
                    <a:fillRect/>
                  </a:stretch>
                </pic:blipFill>
                <pic:spPr bwMode="auto">
                  <a:xfrm>
                    <a:off x="0" y="0"/>
                    <a:ext cx="1959610" cy="477520"/>
                  </a:xfrm>
                  <a:prstGeom prst="rect">
                    <a:avLst/>
                  </a:prstGeom>
                  <a:noFill/>
                  <a:ln w="9525">
                    <a:noFill/>
                    <a:miter lim="800000"/>
                    <a:headEnd/>
                    <a:tailEnd/>
                  </a:ln>
                </pic:spPr>
              </pic:pic>
            </a:graphicData>
          </a:graphic>
        </wp:anchor>
      </w:drawing>
    </w:r>
    <w:r>
      <w:tab/>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775CF"/>
    <w:rsid w:val="00372423"/>
    <w:rsid w:val="00385084"/>
    <w:rsid w:val="006E617D"/>
    <w:rsid w:val="00AB4C6A"/>
    <w:rsid w:val="00B775CF"/>
    <w:rsid w:val="00CB0C1F"/>
    <w:rsid w:val="00CE7077"/>
    <w:rsid w:val="00D12426"/>
    <w:rsid w:val="00DB26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C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775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775CF"/>
    <w:rPr>
      <w:lang w:val="es-SV"/>
    </w:rPr>
  </w:style>
  <w:style w:type="table" w:styleId="Cuadrculamedia1-nfasis1">
    <w:name w:val="Medium Grid 1 Accent 1"/>
    <w:basedOn w:val="Tablanormal"/>
    <w:uiPriority w:val="67"/>
    <w:rsid w:val="00B775CF"/>
    <w:pPr>
      <w:spacing w:after="0" w:line="240" w:lineRule="auto"/>
    </w:pPr>
    <w:rPr>
      <w:lang w:val="es-SV"/>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ipervnculo">
    <w:name w:val="Hyperlink"/>
    <w:basedOn w:val="Fuentedeprrafopredeter"/>
    <w:uiPriority w:val="99"/>
    <w:unhideWhenUsed/>
    <w:rsid w:val="00B775C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8220163">
      <w:bodyDiv w:val="1"/>
      <w:marLeft w:val="0"/>
      <w:marRight w:val="0"/>
      <w:marTop w:val="0"/>
      <w:marBottom w:val="0"/>
      <w:divBdr>
        <w:top w:val="none" w:sz="0" w:space="0" w:color="auto"/>
        <w:left w:val="none" w:sz="0" w:space="0" w:color="auto"/>
        <w:bottom w:val="none" w:sz="0" w:space="0" w:color="auto"/>
        <w:right w:val="none" w:sz="0" w:space="0" w:color="auto"/>
      </w:divBdr>
    </w:div>
    <w:div w:id="20434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sv/system/participation_mechanisms/reports/000/000/147/original/Reporte_13_Iniciativas_con_las_asambleas_ciudadanas_a_nivel_territorial.pdf?1531169857" TargetMode="External"/><Relationship Id="rId3" Type="http://schemas.openxmlformats.org/officeDocument/2006/relationships/webSettings" Target="webSettings.xml"/><Relationship Id="rId7" Type="http://schemas.openxmlformats.org/officeDocument/2006/relationships/hyperlink" Target="http://www.transparencia.gob.sv/system/participation_mechanisms/reports/000/000/144/original/Reporte_9_Audiencias_publicas_PI.pdf?15311684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gob.sv/system/participation_mechanisms/reports/000/000/136/original/Reporte_1_UGIS-145-2018.pdf?153116542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ransparencia.gob.sv/system/participation_mechanisms/reports/000/000/149/original/INFORME_PARTICIPACION_CNR_FESTIVALES__2018_DE_ENERO_A_MAYO.pdf?15318610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888</Words>
  <Characters>4884</Characters>
  <Application>Microsoft Office Word</Application>
  <DocSecurity>0</DocSecurity>
  <Lines>40</Lines>
  <Paragraphs>11</Paragraphs>
  <ScaleCrop>false</ScaleCrop>
  <Company>HP</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luis.hernandez</dc:creator>
  <cp:lastModifiedBy>luis.hernandez</cp:lastModifiedBy>
  <cp:revision>2</cp:revision>
  <dcterms:created xsi:type="dcterms:W3CDTF">2019-10-09T20:07:00Z</dcterms:created>
  <dcterms:modified xsi:type="dcterms:W3CDTF">2019-10-09T20:30:00Z</dcterms:modified>
</cp:coreProperties>
</file>