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D100" w14:textId="77777777" w:rsidR="00243FBA" w:rsidRDefault="002E64F5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87CA619" wp14:editId="00FCC3A2">
            <wp:simplePos x="0" y="0"/>
            <wp:positionH relativeFrom="margin">
              <wp:posOffset>-828675</wp:posOffset>
            </wp:positionH>
            <wp:positionV relativeFrom="paragraph">
              <wp:posOffset>-752475</wp:posOffset>
            </wp:positionV>
            <wp:extent cx="7534275" cy="121983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cera membrete 2024 RECOLECCION Y ASEO-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315" cy="122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8B8C0" w14:textId="77777777" w:rsidR="002E64F5" w:rsidRDefault="002E64F5" w:rsidP="002E64F5"/>
    <w:p w14:paraId="59449017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658A363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180EF6D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A6DCFA3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C36C0A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14C067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262A86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3A414E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0E81304" w14:textId="77777777" w:rsidR="006621CC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22E7DCF" w14:textId="77777777" w:rsidR="002E64F5" w:rsidRPr="00EB0E4D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B0E4D">
        <w:rPr>
          <w:rFonts w:ascii="Arial" w:hAnsi="Arial" w:cs="Arial"/>
          <w:b/>
          <w:bCs/>
          <w:sz w:val="32"/>
          <w:szCs w:val="32"/>
        </w:rPr>
        <w:t>ESTADISTICAS GENERADAS DISTRITO APOPA-NEJAPA</w:t>
      </w:r>
    </w:p>
    <w:p w14:paraId="0C9D439F" w14:textId="77777777" w:rsidR="006621CC" w:rsidRPr="00EB0E4D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B0E4D">
        <w:rPr>
          <w:rFonts w:ascii="Arial" w:hAnsi="Arial" w:cs="Arial"/>
          <w:b/>
          <w:bCs/>
          <w:sz w:val="32"/>
          <w:szCs w:val="32"/>
        </w:rPr>
        <w:t>ACTUALIZACION TRIMESTRAL</w:t>
      </w:r>
    </w:p>
    <w:p w14:paraId="0837E0F0" w14:textId="77777777" w:rsidR="006621CC" w:rsidRPr="00EB0E4D" w:rsidRDefault="006621CC" w:rsidP="00662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B0E4D">
        <w:rPr>
          <w:rFonts w:ascii="Arial" w:hAnsi="Arial" w:cs="Arial"/>
          <w:b/>
          <w:bCs/>
          <w:sz w:val="32"/>
          <w:szCs w:val="32"/>
        </w:rPr>
        <w:t>JULIO/AGOSTO/SEPTIEMBRE 2024</w:t>
      </w:r>
    </w:p>
    <w:p w14:paraId="62BD172D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0B2EF7D6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3E68218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D1992C8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920E81C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E7551C3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5CE8CA4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FF65182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7A1D194" w14:textId="77777777" w:rsidR="00EB0E4D" w:rsidRDefault="00EB0E4D" w:rsidP="006621C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5F1DD13" w14:textId="77777777" w:rsidR="006621CC" w:rsidRPr="00385E7E" w:rsidRDefault="00EB0E4D" w:rsidP="00385E7E">
      <w:pPr>
        <w:spacing w:line="48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7BE9DA51" wp14:editId="556945AB">
            <wp:simplePos x="0" y="0"/>
            <wp:positionH relativeFrom="margin">
              <wp:align>center</wp:align>
            </wp:positionH>
            <wp:positionV relativeFrom="paragraph">
              <wp:posOffset>-756139</wp:posOffset>
            </wp:positionV>
            <wp:extent cx="7534275" cy="1219835"/>
            <wp:effectExtent l="0" t="0" r="9525" b="0"/>
            <wp:wrapNone/>
            <wp:docPr id="563399467" name="Imagen 563399467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99467" name="Imagen 563399467" descr="Interfaz de usuario gráfic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B1897" w14:textId="77777777" w:rsidR="006621CC" w:rsidRDefault="00385E7E" w:rsidP="00385E7E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5E7E">
        <w:rPr>
          <w:rFonts w:ascii="Arial" w:hAnsi="Arial" w:cs="Arial"/>
          <w:b/>
          <w:bCs/>
          <w:sz w:val="24"/>
          <w:szCs w:val="24"/>
        </w:rPr>
        <w:t>Alcaldía Municipal de San Salvador Oeste Distrito Apopa</w:t>
      </w:r>
    </w:p>
    <w:p w14:paraId="36AB27E8" w14:textId="77777777" w:rsidR="00385E7E" w:rsidRDefault="00385E7E" w:rsidP="00385E7E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Actualización Trimestral</w:t>
      </w:r>
    </w:p>
    <w:p w14:paraId="5F26BAF5" w14:textId="6A21175D" w:rsidR="00385E7E" w:rsidRDefault="00385E7E" w:rsidP="00385E7E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Julio/Agosto/</w:t>
      </w:r>
      <w:r w:rsidR="005D536B">
        <w:rPr>
          <w:rFonts w:ascii="Arial" w:hAnsi="Arial" w:cs="Arial"/>
          <w:b/>
          <w:bCs/>
          <w:sz w:val="24"/>
          <w:szCs w:val="24"/>
        </w:rPr>
        <w:t>Septiembre</w:t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</w:p>
    <w:tbl>
      <w:tblPr>
        <w:tblW w:w="93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7"/>
        <w:gridCol w:w="3433"/>
        <w:gridCol w:w="634"/>
        <w:gridCol w:w="888"/>
        <w:gridCol w:w="1368"/>
        <w:gridCol w:w="674"/>
      </w:tblGrid>
      <w:tr w:rsidR="00385E7E" w:rsidRPr="00385E7E" w14:paraId="3F68E3AF" w14:textId="77777777" w:rsidTr="00385E7E">
        <w:trPr>
          <w:trHeight w:val="29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BDF3460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M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eta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CE92BE0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A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ctividades sustantivas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8452AE2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Julio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08AF958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Agosto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E8C6543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B1568F9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Total</w:t>
            </w:r>
          </w:p>
        </w:tc>
      </w:tr>
      <w:tr w:rsidR="00385E7E" w:rsidRPr="00385E7E" w14:paraId="1560C9CA" w14:textId="77777777" w:rsidTr="00385E7E">
        <w:trPr>
          <w:trHeight w:val="569"/>
          <w:jc w:val="center"/>
        </w:trPr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880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con actualización de estado de los inmuebles de la municipalidad.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3DDD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Cotejamiento de registros de activo fijo, con unidad jurídica y catastro.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F8B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CB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E9B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88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138C" w14:textId="77777777" w:rsidR="00385E7E" w:rsidRPr="00385E7E" w:rsidRDefault="00385E7E" w:rsidP="00385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271</w:t>
            </w:r>
          </w:p>
        </w:tc>
      </w:tr>
      <w:tr w:rsidR="00385E7E" w:rsidRPr="00385E7E" w14:paraId="18D48D60" w14:textId="77777777" w:rsidTr="00385E7E">
        <w:trPr>
          <w:trHeight w:val="583"/>
          <w:jc w:val="center"/>
        </w:trPr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FB63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D6DD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Informe de hallazgos y solicitud de estudio catastral en CNR a unidad jurídica.</w:t>
            </w: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A437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BA34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5021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9E9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385E7E" w:rsidRPr="00385E7E" w14:paraId="7C3EA6BE" w14:textId="77777777" w:rsidTr="00385E7E">
        <w:trPr>
          <w:trHeight w:val="872"/>
          <w:jc w:val="center"/>
        </w:trPr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DC6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0CDD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8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Verificación de códigos y Asignación de códigos de activo fijo a inmuebles de la municipalidad.</w:t>
            </w: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3C26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AAE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CFC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9F58" w14:textId="77777777" w:rsidR="00385E7E" w:rsidRPr="00385E7E" w:rsidRDefault="00385E7E" w:rsidP="00385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</w:tbl>
    <w:p w14:paraId="0A8FB492" w14:textId="77777777" w:rsidR="00385E7E" w:rsidRDefault="00385E7E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460F0E18" w14:textId="77777777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de validación de los bienes inmuebles se comenzó el 13 de agosto 2024, asignando 4 horas de verificación de campo y 3 horas de elaboración de reporteria y planificación de rutas.</w:t>
      </w:r>
    </w:p>
    <w:p w14:paraId="4A9C8C61" w14:textId="200EADFE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comité </w:t>
      </w:r>
      <w:r w:rsidR="005D536B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integrado por: </w:t>
      </w:r>
      <w:r w:rsidR="005D536B">
        <w:rPr>
          <w:rFonts w:ascii="Arial" w:hAnsi="Arial" w:cs="Arial"/>
          <w:sz w:val="24"/>
          <w:szCs w:val="24"/>
        </w:rPr>
        <w:t>jefe</w:t>
      </w:r>
      <w:r>
        <w:rPr>
          <w:rFonts w:ascii="Arial" w:hAnsi="Arial" w:cs="Arial"/>
          <w:sz w:val="24"/>
          <w:szCs w:val="24"/>
        </w:rPr>
        <w:t xml:space="preserve"> de Activo Fijo, Supervisor de Activo Fijo, Técnico de Catastro, Técnico de Desarrollo Urbano y Asistente de Sindicatura.</w:t>
      </w:r>
    </w:p>
    <w:p w14:paraId="72C24106" w14:textId="77777777" w:rsidR="00385E7E" w:rsidRDefault="00385E7E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al registro en el CRN, la municipalidad de Apopa tiene como propiedad 294 bienes </w:t>
      </w:r>
      <w:r w:rsidR="002144B2">
        <w:rPr>
          <w:rFonts w:ascii="Arial" w:hAnsi="Arial" w:cs="Arial"/>
          <w:sz w:val="24"/>
          <w:szCs w:val="24"/>
        </w:rPr>
        <w:t>inmuebles, de</w:t>
      </w:r>
      <w:r>
        <w:rPr>
          <w:rFonts w:ascii="Arial" w:hAnsi="Arial" w:cs="Arial"/>
          <w:sz w:val="24"/>
          <w:szCs w:val="24"/>
        </w:rPr>
        <w:t xml:space="preserve"> los cuales se han </w:t>
      </w:r>
      <w:r w:rsidR="002144B2">
        <w:rPr>
          <w:rFonts w:ascii="Arial" w:hAnsi="Arial" w:cs="Arial"/>
          <w:sz w:val="24"/>
          <w:szCs w:val="24"/>
        </w:rPr>
        <w:t>verificado</w:t>
      </w:r>
      <w:r>
        <w:rPr>
          <w:rFonts w:ascii="Arial" w:hAnsi="Arial" w:cs="Arial"/>
          <w:sz w:val="24"/>
          <w:szCs w:val="24"/>
        </w:rPr>
        <w:t xml:space="preserve"> físicamente 271 bienes, en el proceso se ha </w:t>
      </w:r>
      <w:r w:rsidR="002144B2">
        <w:rPr>
          <w:rFonts w:ascii="Arial" w:hAnsi="Arial" w:cs="Arial"/>
          <w:sz w:val="24"/>
          <w:szCs w:val="24"/>
        </w:rPr>
        <w:t>validado</w:t>
      </w:r>
      <w:r>
        <w:rPr>
          <w:rFonts w:ascii="Arial" w:hAnsi="Arial" w:cs="Arial"/>
          <w:sz w:val="24"/>
          <w:szCs w:val="24"/>
        </w:rPr>
        <w:t xml:space="preserve"> la condición actual de los bienes, </w:t>
      </w:r>
      <w:r w:rsidR="002144B2">
        <w:rPr>
          <w:rFonts w:ascii="Arial" w:hAnsi="Arial" w:cs="Arial"/>
          <w:sz w:val="24"/>
          <w:szCs w:val="24"/>
        </w:rPr>
        <w:t>identificando</w:t>
      </w:r>
      <w:r>
        <w:rPr>
          <w:rFonts w:ascii="Arial" w:hAnsi="Arial" w:cs="Arial"/>
          <w:sz w:val="24"/>
          <w:szCs w:val="24"/>
        </w:rPr>
        <w:t xml:space="preserve"> aquellos que han sido usurpados</w:t>
      </w:r>
      <w:r w:rsidR="002144B2">
        <w:rPr>
          <w:rFonts w:ascii="Arial" w:hAnsi="Arial" w:cs="Arial"/>
          <w:sz w:val="24"/>
          <w:szCs w:val="24"/>
        </w:rPr>
        <w:t>.</w:t>
      </w:r>
    </w:p>
    <w:p w14:paraId="21457094" w14:textId="77777777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FFC98BB" w14:textId="77777777" w:rsidR="005340E6" w:rsidRDefault="005340E6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42A29A3F" wp14:editId="730436A7">
            <wp:simplePos x="0" y="0"/>
            <wp:positionH relativeFrom="margin">
              <wp:posOffset>-826184</wp:posOffset>
            </wp:positionH>
            <wp:positionV relativeFrom="paragraph">
              <wp:posOffset>-782515</wp:posOffset>
            </wp:positionV>
            <wp:extent cx="7535008" cy="1219811"/>
            <wp:effectExtent l="0" t="0" r="0" b="0"/>
            <wp:wrapNone/>
            <wp:docPr id="2092386368" name="Imagen 209238636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86368" name="Imagen 2092386368" descr="Interfaz de usuario gráfic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008" cy="121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C3C44" w14:textId="77777777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planifico la verificación de 10 bienes inmuebles por día.</w:t>
      </w:r>
    </w:p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</w:tblGrid>
      <w:tr w:rsidR="002144B2" w:rsidRPr="002144B2" w14:paraId="198C7632" w14:textId="77777777" w:rsidTr="002144B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9C4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95D5" w14:textId="77777777" w:rsidR="002144B2" w:rsidRPr="002144B2" w:rsidRDefault="002144B2" w:rsidP="00214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Inmueble por día/estimado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C925" w14:textId="77777777" w:rsidR="002144B2" w:rsidRPr="002144B2" w:rsidRDefault="002144B2" w:rsidP="00214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Inmueble por día/real</w:t>
            </w:r>
          </w:p>
        </w:tc>
      </w:tr>
      <w:tr w:rsidR="002144B2" w:rsidRPr="002144B2" w14:paraId="459FCF26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944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lastRenderedPageBreak/>
              <w:t>13/8/2024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C05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F40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103</w:t>
            </w:r>
          </w:p>
        </w:tc>
      </w:tr>
      <w:tr w:rsidR="002144B2" w:rsidRPr="002144B2" w14:paraId="45C1158F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C7CA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1D6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417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2144B2" w:rsidRPr="002144B2" w14:paraId="67AF248F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96D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15/8/2024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259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935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</w:tr>
      <w:tr w:rsidR="002144B2" w:rsidRPr="002144B2" w14:paraId="13A590E8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587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D53F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642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2144B2" w:rsidRPr="002144B2" w14:paraId="0AFB7B64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2BB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0098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86D5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2144B2" w:rsidRPr="002144B2" w14:paraId="587A5A61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EEB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1ED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1F1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  <w:tr w:rsidR="002144B2" w:rsidRPr="002144B2" w14:paraId="4CD078E6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094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21/8/2024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F9B2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C23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2144B2" w:rsidRPr="002144B2" w14:paraId="5E9C43E6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F5C1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406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E36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2144B2" w:rsidRPr="002144B2" w14:paraId="244C34E9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6EE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26/8/2024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347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93F8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2144B2" w:rsidRPr="002144B2" w14:paraId="141F33C7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1BE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27/8/2024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BA5C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813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2144B2" w:rsidRPr="002144B2" w14:paraId="3CC77880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08BA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7A39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E74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2144B2" w:rsidRPr="002144B2" w14:paraId="038D8AB9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09B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5670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F25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2144B2" w:rsidRPr="002144B2" w14:paraId="3C7A53B1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8B3C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732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04F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2144B2" w:rsidRPr="002144B2" w14:paraId="11EDD04D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198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B53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A03A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2144B2" w:rsidRPr="002144B2" w14:paraId="7EE2C331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DEE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9FF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343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38</w:t>
            </w:r>
          </w:p>
        </w:tc>
      </w:tr>
      <w:tr w:rsidR="002144B2" w:rsidRPr="002144B2" w14:paraId="7797B02E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37B2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17/9/2024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C1B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CD9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2144B2" w:rsidRPr="002144B2" w14:paraId="5765F53E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C44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161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450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2144B2" w:rsidRPr="002144B2" w14:paraId="0722FF15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FBD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9C27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62B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</w:tr>
      <w:tr w:rsidR="002144B2" w:rsidRPr="002144B2" w14:paraId="711F8AC8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8BD6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8E52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A1C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2144B2" w:rsidRPr="002144B2" w14:paraId="77F0359F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919" w14:textId="77777777" w:rsidR="002144B2" w:rsidRPr="002144B2" w:rsidRDefault="002144B2" w:rsidP="002144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27/9/2024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A64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743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2144B2" w:rsidRPr="002144B2" w14:paraId="352EAF23" w14:textId="77777777" w:rsidTr="002144B2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E43" w14:textId="77777777" w:rsidR="002144B2" w:rsidRPr="002144B2" w:rsidRDefault="002144B2" w:rsidP="002144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Avance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2096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8EF" w14:textId="77777777" w:rsidR="002144B2" w:rsidRPr="002144B2" w:rsidRDefault="002144B2" w:rsidP="00214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2144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94%</w:t>
            </w:r>
          </w:p>
        </w:tc>
      </w:tr>
    </w:tbl>
    <w:p w14:paraId="5B01A45C" w14:textId="77777777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90B44AC" w14:textId="77777777" w:rsidR="002144B2" w:rsidRDefault="005340E6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340E6">
        <w:rPr>
          <w:rFonts w:ascii="Arial" w:hAnsi="Arial" w:cs="Arial"/>
          <w:b/>
          <w:bCs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Se cuenta con el 25% más de avance real, en total se han revisado 271 bienes</w:t>
      </w:r>
    </w:p>
    <w:p w14:paraId="70565FDC" w14:textId="77777777" w:rsidR="005340E6" w:rsidRDefault="005340E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A871E9" w14:textId="77777777" w:rsidR="005340E6" w:rsidRDefault="005340E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26BC35" w14:textId="77777777" w:rsidR="00CA1DB6" w:rsidRDefault="00CA1DB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F872" w14:textId="77777777" w:rsidR="005340E6" w:rsidRDefault="005340E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5E1A4A" w14:textId="77777777" w:rsidR="005340E6" w:rsidRDefault="005340E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233970" w14:textId="77777777" w:rsidR="005340E6" w:rsidRPr="005340E6" w:rsidRDefault="005340E6" w:rsidP="00385E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40E6">
        <w:rPr>
          <w:rFonts w:ascii="Arial" w:hAnsi="Arial" w:cs="Arial"/>
          <w:b/>
          <w:bCs/>
          <w:sz w:val="24"/>
          <w:szCs w:val="24"/>
        </w:rPr>
        <w:t>Estimado/Real Mensual</w:t>
      </w:r>
    </w:p>
    <w:tbl>
      <w:tblPr>
        <w:tblW w:w="4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1600"/>
        <w:gridCol w:w="1577"/>
      </w:tblGrid>
      <w:tr w:rsidR="005340E6" w:rsidRPr="005340E6" w14:paraId="3560CA6B" w14:textId="77777777" w:rsidTr="005340E6">
        <w:trPr>
          <w:trHeight w:val="61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4C23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BB5F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Inmueble por día/estimado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17D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Inmueble por día/real</w:t>
            </w:r>
          </w:p>
        </w:tc>
      </w:tr>
      <w:tr w:rsidR="005340E6" w:rsidRPr="005340E6" w14:paraId="5CF6582B" w14:textId="77777777" w:rsidTr="005340E6">
        <w:trPr>
          <w:trHeight w:val="323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4D3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735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2CF3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340E6" w:rsidRPr="005340E6" w14:paraId="4B9E8661" w14:textId="77777777" w:rsidTr="005340E6">
        <w:trPr>
          <w:trHeight w:val="323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470E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Agosto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D155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D6C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183</w:t>
            </w:r>
          </w:p>
        </w:tc>
      </w:tr>
      <w:tr w:rsidR="005340E6" w:rsidRPr="005340E6" w14:paraId="3B51B29D" w14:textId="77777777" w:rsidTr="005340E6">
        <w:trPr>
          <w:trHeight w:val="323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1AE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Septiembre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CE7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08B3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88</w:t>
            </w:r>
          </w:p>
        </w:tc>
      </w:tr>
      <w:tr w:rsidR="005340E6" w:rsidRPr="005340E6" w14:paraId="0302276F" w14:textId="77777777" w:rsidTr="005340E6">
        <w:trPr>
          <w:trHeight w:val="323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6FA" w14:textId="77777777" w:rsidR="005340E6" w:rsidRPr="005340E6" w:rsidRDefault="005340E6" w:rsidP="00534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BC6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46E" w14:textId="77777777" w:rsidR="005340E6" w:rsidRPr="005340E6" w:rsidRDefault="005340E6" w:rsidP="00534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34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271</w:t>
            </w:r>
          </w:p>
        </w:tc>
      </w:tr>
    </w:tbl>
    <w:p w14:paraId="04AF9064" w14:textId="77777777" w:rsidR="002144B2" w:rsidRDefault="002144B2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E42EF3F" w14:textId="77777777" w:rsidR="005340E6" w:rsidRPr="00385E7E" w:rsidRDefault="005340E6" w:rsidP="00CA1DB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B1A7B9" wp14:editId="517C0BD8">
            <wp:extent cx="5978769" cy="3050540"/>
            <wp:effectExtent l="0" t="0" r="3175" b="16510"/>
            <wp:docPr id="9477543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7F23E0-64E8-3DFC-2310-1F9D3B3D15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E12715" w14:textId="77777777" w:rsidR="00385E7E" w:rsidRPr="00385E7E" w:rsidRDefault="00385E7E" w:rsidP="00385E7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A52E12" w14:textId="1A359EA4" w:rsidR="00385E7E" w:rsidRDefault="005340E6" w:rsidP="00385E7E">
      <w:pPr>
        <w:spacing w:line="480" w:lineRule="auto"/>
        <w:rPr>
          <w:rFonts w:ascii="Arial" w:hAnsi="Arial" w:cs="Arial"/>
          <w:sz w:val="24"/>
          <w:szCs w:val="24"/>
        </w:rPr>
      </w:pPr>
      <w:r w:rsidRPr="005340E6">
        <w:rPr>
          <w:rFonts w:ascii="Arial" w:hAnsi="Arial" w:cs="Arial"/>
          <w:b/>
          <w:bCs/>
          <w:sz w:val="24"/>
          <w:szCs w:val="24"/>
        </w:rPr>
        <w:lastRenderedPageBreak/>
        <w:t xml:space="preserve">Nota: </w:t>
      </w:r>
      <w:r>
        <w:rPr>
          <w:rFonts w:ascii="Arial" w:hAnsi="Arial" w:cs="Arial"/>
          <w:sz w:val="24"/>
          <w:szCs w:val="24"/>
        </w:rPr>
        <w:t xml:space="preserve">Actualmente la verificación no ha concluido se </w:t>
      </w:r>
      <w:r w:rsidR="00CA1DB6">
        <w:rPr>
          <w:rFonts w:ascii="Arial" w:hAnsi="Arial" w:cs="Arial"/>
          <w:sz w:val="24"/>
          <w:szCs w:val="24"/>
        </w:rPr>
        <w:t>continúa</w:t>
      </w:r>
      <w:r>
        <w:rPr>
          <w:rFonts w:ascii="Arial" w:hAnsi="Arial" w:cs="Arial"/>
          <w:sz w:val="24"/>
          <w:szCs w:val="24"/>
        </w:rPr>
        <w:t xml:space="preserve"> </w:t>
      </w:r>
      <w:r w:rsidR="00504C18">
        <w:rPr>
          <w:rFonts w:ascii="Arial" w:hAnsi="Arial" w:cs="Arial"/>
          <w:sz w:val="24"/>
          <w:szCs w:val="24"/>
        </w:rPr>
        <w:t xml:space="preserve">identificando los últimos bienes inmueble, se prevé terminar en la primera quincena del mes de </w:t>
      </w:r>
      <w:r w:rsidR="005D536B">
        <w:rPr>
          <w:rFonts w:ascii="Arial" w:hAnsi="Arial" w:cs="Arial"/>
          <w:sz w:val="24"/>
          <w:szCs w:val="24"/>
        </w:rPr>
        <w:t>octubre</w:t>
      </w:r>
      <w:r w:rsidR="00504C18">
        <w:rPr>
          <w:rFonts w:ascii="Arial" w:hAnsi="Arial" w:cs="Arial"/>
          <w:sz w:val="24"/>
          <w:szCs w:val="24"/>
        </w:rPr>
        <w:t xml:space="preserve"> 2024.</w:t>
      </w:r>
    </w:p>
    <w:p w14:paraId="5BE5090E" w14:textId="77777777" w:rsidR="00504C18" w:rsidRDefault="00504C18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7C9957D8" w14:textId="77777777" w:rsidR="00CA1DB6" w:rsidRDefault="00CA1DB6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21CBE525" w14:textId="77777777" w:rsidR="00504C18" w:rsidRDefault="00504C18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262270AB" w14:textId="77777777" w:rsidR="00504C18" w:rsidRDefault="00CA1DB6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CA1DB6">
        <w:rPr>
          <w:rFonts w:ascii="Arial" w:hAnsi="Arial" w:cs="Arial"/>
          <w:b/>
          <w:bCs/>
          <w:sz w:val="24"/>
          <w:szCs w:val="24"/>
        </w:rPr>
        <w:t>Clasificación de los bienes inmuebles</w:t>
      </w:r>
    </w:p>
    <w:tbl>
      <w:tblPr>
        <w:tblW w:w="9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1390"/>
        <w:gridCol w:w="1158"/>
        <w:gridCol w:w="1158"/>
        <w:gridCol w:w="1158"/>
        <w:gridCol w:w="1194"/>
        <w:gridCol w:w="1158"/>
        <w:gridCol w:w="1158"/>
      </w:tblGrid>
      <w:tr w:rsidR="00CA1DB6" w:rsidRPr="00CA1DB6" w14:paraId="38517F2D" w14:textId="77777777" w:rsidTr="00CA1DB6">
        <w:trPr>
          <w:trHeight w:val="102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AC1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Bienes registrados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0E4B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Bienes verificados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537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Q habitada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43E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Q usurpada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2A2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Q zona rural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67BE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Q zona recreativa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1EB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Q zona común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32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</w:tr>
      <w:tr w:rsidR="00CA1DB6" w:rsidRPr="00CA1DB6" w14:paraId="413E2299" w14:textId="77777777" w:rsidTr="00CA1DB6">
        <w:trPr>
          <w:trHeight w:val="73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BD49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290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E7C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271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A81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294A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DF17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BB6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A476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19B5" w14:textId="77777777" w:rsidR="00CA1DB6" w:rsidRPr="00CA1DB6" w:rsidRDefault="00CA1DB6" w:rsidP="00CA1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CA1DB6">
              <w:rPr>
                <w:rFonts w:ascii="Arial" w:eastAsia="Times New Roman" w:hAnsi="Arial" w:cs="Arial"/>
                <w:color w:val="000000"/>
                <w:lang w:eastAsia="es-SV"/>
              </w:rPr>
              <w:t>271</w:t>
            </w:r>
          </w:p>
        </w:tc>
      </w:tr>
    </w:tbl>
    <w:p w14:paraId="07C22C84" w14:textId="77777777" w:rsidR="00CA1DB6" w:rsidRDefault="00CA1DB6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F326AC4" w14:textId="77777777" w:rsidR="00CA1DB6" w:rsidRDefault="00956549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DF3AAF" wp14:editId="74DAFD8C">
            <wp:extent cx="6137031" cy="3585845"/>
            <wp:effectExtent l="0" t="0" r="16510" b="14605"/>
            <wp:docPr id="3327808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FC1862-BD53-4202-2674-DDCC287A80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36BE7E" w14:textId="77777777" w:rsidR="00956549" w:rsidRDefault="00956549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B36A0B8" w14:textId="77777777" w:rsidR="00F93974" w:rsidRDefault="00F93974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9C08E7B" w14:textId="77777777" w:rsidR="00613BF2" w:rsidRDefault="00613BF2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1B26E425" w14:textId="77777777" w:rsidR="00F93974" w:rsidRDefault="00F93974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E0B22A7" w14:textId="77777777" w:rsidR="00F93974" w:rsidRDefault="00F93974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C3D37E2" w14:textId="77777777" w:rsidR="00F93974" w:rsidRDefault="00F93974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3408"/>
        <w:gridCol w:w="864"/>
        <w:gridCol w:w="996"/>
        <w:gridCol w:w="1451"/>
        <w:gridCol w:w="674"/>
      </w:tblGrid>
      <w:tr w:rsidR="00613BF2" w:rsidRPr="000B1CCB" w14:paraId="4FDF73C3" w14:textId="77777777" w:rsidTr="00613BF2">
        <w:trPr>
          <w:trHeight w:val="39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395C36C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lastRenderedPageBreak/>
              <w:t>META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376FCC6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ACTIVIDADES SUSTANTIVAS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6CBF90C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Julio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A1DEEEA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Agosto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96371A1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70B198A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Total</w:t>
            </w:r>
          </w:p>
        </w:tc>
      </w:tr>
      <w:tr w:rsidR="00613BF2" w:rsidRPr="000B1CCB" w14:paraId="028B6121" w14:textId="77777777" w:rsidTr="000B1CCB">
        <w:trPr>
          <w:trHeight w:val="684"/>
        </w:trPr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542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con actualización de estado de los vehículos de la municipalidad.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2184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Verificación de estado </w:t>
            </w:r>
            <w:r w:rsidRPr="000B1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físico (</w:t>
            </w: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y números de chasis y motor).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84F2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  <w:r w:rsidRPr="000B1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00A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64FB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D79D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  <w:r w:rsidRPr="000B1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613BF2" w:rsidRPr="000B1CCB" w14:paraId="30A19784" w14:textId="77777777" w:rsidTr="00613BF2">
        <w:trPr>
          <w:trHeight w:val="748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E038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84C9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Verificación de estado legal con tarjetas de circulación.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597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224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D238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83A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  <w:tr w:rsidR="00613BF2" w:rsidRPr="000B1CCB" w14:paraId="23B47B5D" w14:textId="77777777" w:rsidTr="00613BF2">
        <w:trPr>
          <w:trHeight w:val="748"/>
        </w:trPr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E4A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C6D4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con hallazgos relevantes a unidad jurídica y transporte.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AD13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87B3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90AD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34F6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</w:tr>
    </w:tbl>
    <w:p w14:paraId="5DED68E3" w14:textId="77777777" w:rsidR="00F93974" w:rsidRDefault="00F93974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7DDBEF4" w14:textId="77777777" w:rsidR="00613BF2" w:rsidRDefault="00613BF2" w:rsidP="000B1C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3BF2">
        <w:rPr>
          <w:rFonts w:ascii="Arial" w:hAnsi="Arial" w:cs="Arial"/>
          <w:sz w:val="24"/>
          <w:szCs w:val="24"/>
        </w:rPr>
        <w:t>En Julio 2024</w:t>
      </w:r>
      <w:r>
        <w:rPr>
          <w:rFonts w:ascii="Arial" w:hAnsi="Arial" w:cs="Arial"/>
          <w:sz w:val="24"/>
          <w:szCs w:val="24"/>
        </w:rPr>
        <w:t xml:space="preserve"> se realizó la validación física de las unidades vehiculares, de acuerdo a la base que ya se encontraba en la Unidad de Activo Fijo, agregando a la base 3 unidades compradas, sumando un total de 89 unidades de Flota vehicular de los cuales se detalla el estado, de la siguiente manera:</w:t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1646"/>
        <w:gridCol w:w="2042"/>
        <w:gridCol w:w="1788"/>
        <w:gridCol w:w="2059"/>
        <w:gridCol w:w="816"/>
      </w:tblGrid>
      <w:tr w:rsidR="00613BF2" w:rsidRPr="00613BF2" w14:paraId="6953CC38" w14:textId="77777777" w:rsidTr="000B1CCB">
        <w:trPr>
          <w:trHeight w:val="306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576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Clasificación del estado vehicular Apopa</w:t>
            </w:r>
          </w:p>
        </w:tc>
      </w:tr>
      <w:tr w:rsidR="00613BF2" w:rsidRPr="00613BF2" w14:paraId="70321A75" w14:textId="77777777" w:rsidTr="000B1CCB">
        <w:trPr>
          <w:trHeight w:val="8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DB4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En uso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8AB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Aplica para descargo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7FA4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No identificado físicamente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700C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Descargado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6269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En reparación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4A95" w14:textId="77777777" w:rsidR="00613BF2" w:rsidRPr="00613BF2" w:rsidRDefault="00613BF2" w:rsidP="00613B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</w:tr>
      <w:tr w:rsidR="00613BF2" w:rsidRPr="00613BF2" w14:paraId="58F0BC47" w14:textId="77777777" w:rsidTr="000B1CCB">
        <w:trPr>
          <w:trHeight w:val="306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DCA9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76F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793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BC3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D4A5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F9B" w14:textId="77777777" w:rsidR="00613BF2" w:rsidRPr="00613BF2" w:rsidRDefault="00613BF2" w:rsidP="00613B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13BF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89</w:t>
            </w:r>
          </w:p>
        </w:tc>
      </w:tr>
    </w:tbl>
    <w:p w14:paraId="2673CA15" w14:textId="77777777" w:rsidR="00613BF2" w:rsidRDefault="00613BF2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431C5CBF" w14:textId="77777777" w:rsidR="000B1CCB" w:rsidRDefault="00613BF2" w:rsidP="000B1C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la base</w:t>
      </w:r>
      <w:r w:rsidR="000B1CCB">
        <w:rPr>
          <w:rFonts w:ascii="Arial" w:hAnsi="Arial" w:cs="Arial"/>
          <w:sz w:val="24"/>
          <w:szCs w:val="24"/>
        </w:rPr>
        <w:t>:</w:t>
      </w:r>
    </w:p>
    <w:p w14:paraId="321EF26A" w14:textId="5E390513" w:rsidR="00613BF2" w:rsidRDefault="00613BF2" w:rsidP="000B1CCB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B1CCB">
        <w:rPr>
          <w:rFonts w:ascii="Arial" w:hAnsi="Arial" w:cs="Arial"/>
          <w:sz w:val="24"/>
          <w:szCs w:val="24"/>
        </w:rPr>
        <w:t xml:space="preserve">no se encontraron </w:t>
      </w:r>
      <w:r w:rsidR="000B1CCB" w:rsidRPr="000B1CCB">
        <w:rPr>
          <w:rFonts w:ascii="Arial" w:hAnsi="Arial" w:cs="Arial"/>
          <w:sz w:val="24"/>
          <w:szCs w:val="24"/>
        </w:rPr>
        <w:t>físicamente</w:t>
      </w:r>
      <w:r w:rsidRPr="000B1CCB">
        <w:rPr>
          <w:rFonts w:ascii="Arial" w:hAnsi="Arial" w:cs="Arial"/>
          <w:sz w:val="24"/>
          <w:szCs w:val="24"/>
        </w:rPr>
        <w:t xml:space="preserve"> 14 unidades, las cuales no se sabe </w:t>
      </w:r>
      <w:r w:rsidR="005D536B">
        <w:rPr>
          <w:rFonts w:ascii="Arial" w:hAnsi="Arial" w:cs="Arial"/>
          <w:sz w:val="24"/>
          <w:szCs w:val="24"/>
        </w:rPr>
        <w:t>su paradero</w:t>
      </w:r>
      <w:r w:rsidR="000B1CCB" w:rsidRPr="000B1CCB">
        <w:rPr>
          <w:rFonts w:ascii="Arial" w:hAnsi="Arial" w:cs="Arial"/>
          <w:sz w:val="24"/>
          <w:szCs w:val="24"/>
        </w:rPr>
        <w:t>, no existe documento que respalde la venta,</w:t>
      </w:r>
      <w:r w:rsidR="005D536B">
        <w:rPr>
          <w:rFonts w:ascii="Arial" w:hAnsi="Arial" w:cs="Arial"/>
          <w:sz w:val="24"/>
          <w:szCs w:val="24"/>
        </w:rPr>
        <w:t xml:space="preserve"> descargo o donación</w:t>
      </w:r>
      <w:r w:rsidR="000B1CCB" w:rsidRPr="000B1CCB">
        <w:rPr>
          <w:rFonts w:ascii="Arial" w:hAnsi="Arial" w:cs="Arial"/>
          <w:sz w:val="24"/>
          <w:szCs w:val="24"/>
        </w:rPr>
        <w:t xml:space="preserve"> </w:t>
      </w:r>
      <w:r w:rsidR="005D536B">
        <w:rPr>
          <w:rFonts w:ascii="Arial" w:hAnsi="Arial" w:cs="Arial"/>
          <w:sz w:val="24"/>
          <w:szCs w:val="24"/>
        </w:rPr>
        <w:t>de los mismos</w:t>
      </w:r>
      <w:r w:rsidR="000B1CCB" w:rsidRPr="000B1CCB">
        <w:rPr>
          <w:rFonts w:ascii="Arial" w:hAnsi="Arial" w:cs="Arial"/>
          <w:sz w:val="24"/>
          <w:szCs w:val="24"/>
        </w:rPr>
        <w:t>.</w:t>
      </w:r>
    </w:p>
    <w:p w14:paraId="68469CFB" w14:textId="16A46049" w:rsidR="000B1CCB" w:rsidRDefault="000B1CCB" w:rsidP="000B1CCB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Existen 10 descarg</w:t>
      </w:r>
      <w:r w:rsidR="005D536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aplicados.</w:t>
      </w:r>
    </w:p>
    <w:p w14:paraId="7801262B" w14:textId="77777777" w:rsidR="000B1CCB" w:rsidRPr="000B1CCB" w:rsidRDefault="000B1CCB" w:rsidP="000B1CCB">
      <w:pPr>
        <w:pStyle w:val="Prrafodelista"/>
        <w:spacing w:line="480" w:lineRule="auto"/>
        <w:ind w:left="789"/>
        <w:jc w:val="both"/>
        <w:rPr>
          <w:rFonts w:ascii="Arial" w:hAnsi="Arial" w:cs="Arial"/>
          <w:sz w:val="24"/>
          <w:szCs w:val="24"/>
        </w:rPr>
      </w:pPr>
    </w:p>
    <w:p w14:paraId="5F22296B" w14:textId="77777777" w:rsidR="00613BF2" w:rsidRPr="00613BF2" w:rsidRDefault="00613BF2" w:rsidP="00385E7E">
      <w:pPr>
        <w:spacing w:line="480" w:lineRule="auto"/>
        <w:rPr>
          <w:rFonts w:ascii="Arial" w:hAnsi="Arial" w:cs="Arial"/>
          <w:sz w:val="24"/>
          <w:szCs w:val="24"/>
        </w:rPr>
      </w:pPr>
    </w:p>
    <w:p w14:paraId="3C9BD9FE" w14:textId="77777777" w:rsidR="00613BF2" w:rsidRDefault="00613BF2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206C33C" w14:textId="77777777" w:rsidR="000B1CCB" w:rsidRDefault="000B1CC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3DE9FC" wp14:editId="3246216B">
            <wp:extent cx="5960745" cy="3508130"/>
            <wp:effectExtent l="0" t="0" r="1905" b="16510"/>
            <wp:docPr id="10337918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292612-9A47-8E8B-42E6-AAE86D59DE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153000" w14:textId="20602064" w:rsidR="00A84CBB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Bie</w:t>
      </w:r>
      <w:r w:rsidR="005F0EEB">
        <w:rPr>
          <w:rFonts w:ascii="Arial" w:hAnsi="Arial" w:cs="Arial"/>
          <w:b/>
          <w:bCs/>
          <w:sz w:val="24"/>
          <w:szCs w:val="24"/>
        </w:rPr>
        <w:t>nes descargados</w:t>
      </w:r>
    </w:p>
    <w:tbl>
      <w:tblPr>
        <w:tblW w:w="6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3457"/>
      </w:tblGrid>
      <w:tr w:rsidR="005F0EEB" w:rsidRPr="001C5040" w14:paraId="511F7056" w14:textId="77777777" w:rsidTr="00A00388">
        <w:trPr>
          <w:trHeight w:val="472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D9F3825" w14:textId="77777777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039B69C" w14:textId="77777777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Bienes</w:t>
            </w:r>
          </w:p>
        </w:tc>
      </w:tr>
      <w:tr w:rsidR="005F0EEB" w:rsidRPr="001C5040" w14:paraId="19B4EEA4" w14:textId="77777777" w:rsidTr="00A00388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8223" w14:textId="77777777" w:rsidR="005F0EEB" w:rsidRPr="001C5040" w:rsidRDefault="005F0EEB" w:rsidP="00A0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4BF6" w14:textId="77777777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F0EEB" w:rsidRPr="001C5040" w14:paraId="53A2CE28" w14:textId="77777777" w:rsidTr="00A00388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CDFD" w14:textId="77777777" w:rsidR="005F0EEB" w:rsidRPr="001C5040" w:rsidRDefault="005F0EEB" w:rsidP="00A0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3687" w14:textId="1E7D0133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5F0EEB" w:rsidRPr="001C5040" w14:paraId="4CE353D2" w14:textId="77777777" w:rsidTr="00A00388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AAB3" w14:textId="77777777" w:rsidR="005F0EEB" w:rsidRPr="001C5040" w:rsidRDefault="005F0EEB" w:rsidP="00A00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6A85" w14:textId="77777777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5F0EEB" w:rsidRPr="001C5040" w14:paraId="10F9588B" w14:textId="77777777" w:rsidTr="00A00388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8185" w14:textId="77777777" w:rsidR="005F0EEB" w:rsidRPr="001C5040" w:rsidRDefault="005F0EEB" w:rsidP="00A00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otal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AA2D" w14:textId="73128E9D" w:rsidR="005F0EEB" w:rsidRPr="001C5040" w:rsidRDefault="005F0EEB" w:rsidP="00A00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</w:tbl>
    <w:p w14:paraId="404F0F3D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29C01E8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32B9B88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782EE936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9C99654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B86F3DC" w14:textId="68DDBADB" w:rsidR="00A84CBB" w:rsidRDefault="00A84CBB" w:rsidP="00A84CB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5E7E">
        <w:rPr>
          <w:rFonts w:ascii="Arial" w:hAnsi="Arial" w:cs="Arial"/>
          <w:b/>
          <w:bCs/>
          <w:sz w:val="24"/>
          <w:szCs w:val="24"/>
        </w:rPr>
        <w:t xml:space="preserve">Alcaldía Municipal de San Salvador Oeste Distrito </w:t>
      </w:r>
      <w:r>
        <w:rPr>
          <w:rFonts w:ascii="Arial" w:hAnsi="Arial" w:cs="Arial"/>
          <w:b/>
          <w:bCs/>
          <w:sz w:val="24"/>
          <w:szCs w:val="24"/>
        </w:rPr>
        <w:t>Nejapa</w:t>
      </w:r>
    </w:p>
    <w:p w14:paraId="33463CF4" w14:textId="77777777" w:rsidR="00A84CBB" w:rsidRDefault="00A84CBB" w:rsidP="00A84CB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Actualización Trimestral</w:t>
      </w:r>
    </w:p>
    <w:p w14:paraId="289D2433" w14:textId="77777777" w:rsidR="00A84CBB" w:rsidRDefault="00A84CBB" w:rsidP="00A84CB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Julio/Agosto/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Septiembre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159EC642" w14:textId="034BD661" w:rsidR="001C5040" w:rsidRDefault="001C5040" w:rsidP="001C504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Unidades/Departamentos inventariadas</w:t>
      </w: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274"/>
        <w:gridCol w:w="1967"/>
        <w:gridCol w:w="1267"/>
        <w:gridCol w:w="755"/>
        <w:gridCol w:w="1045"/>
        <w:gridCol w:w="1416"/>
        <w:gridCol w:w="674"/>
      </w:tblGrid>
      <w:tr w:rsidR="00A84CBB" w:rsidRPr="00A84CBB" w14:paraId="70130E62" w14:textId="77777777" w:rsidTr="00A84CBB">
        <w:trPr>
          <w:trHeight w:val="314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AD63B14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META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7A56B53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ACTIVIDADES SUSTANTIVAS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01308C5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544618F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B5F6551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5BEC160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20D3766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Total</w:t>
            </w:r>
          </w:p>
        </w:tc>
      </w:tr>
      <w:tr w:rsidR="00A84CBB" w:rsidRPr="00A84CBB" w14:paraId="3F203C01" w14:textId="77777777" w:rsidTr="00A84CBB">
        <w:trPr>
          <w:trHeight w:val="690"/>
        </w:trPr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A6A3" w14:textId="77777777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Informes de recepción de bienes para cada una de las 50 unidades de la municipalidad.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7763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EF9" w14:textId="3717A562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Visitar cada unidad para verificación </w:t>
            </w: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física</w:t>
            </w: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1E2B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Ejecutado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495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7B02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C04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972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  <w:tr w:rsidR="00A84CBB" w:rsidRPr="00A84CBB" w14:paraId="7E79D5D7" w14:textId="77777777" w:rsidTr="00A84CBB">
        <w:trPr>
          <w:trHeight w:val="1130"/>
        </w:trPr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DA4A" w14:textId="77777777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03F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0926" w14:textId="5AA5606E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Asignación de </w:t>
            </w: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código</w:t>
            </w: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para cada bien mueble de la unidad.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BED0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Ejecutado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A65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BD72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A690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CEBB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A84CBB" w:rsidRPr="00A84CBB" w14:paraId="4B02EBEC" w14:textId="77777777" w:rsidTr="001C5040">
        <w:trPr>
          <w:trHeight w:val="1459"/>
        </w:trPr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754" w14:textId="77777777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C7C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903" w14:textId="77777777" w:rsidR="00A84CBB" w:rsidRPr="00A84CBB" w:rsidRDefault="00A84CBB" w:rsidP="00A84C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de recepción de bienes para cada jefe de unidad.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2B60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Ejecutado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A8EA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E4D6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B8B1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4B3" w14:textId="77777777" w:rsidR="00A84CBB" w:rsidRPr="00A84CBB" w:rsidRDefault="00A84CBB" w:rsidP="00A84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84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</w:tbl>
    <w:p w14:paraId="152A0DEE" w14:textId="77777777" w:rsidR="00A84CBB" w:rsidRDefault="00A84CBB" w:rsidP="00A84CB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C2D6EF" w14:textId="696F3933" w:rsidR="00A84CBB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F254C8" wp14:editId="5FBB19B4">
            <wp:extent cx="6000750" cy="2343150"/>
            <wp:effectExtent l="0" t="0" r="0" b="0"/>
            <wp:docPr id="176828721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67B3A8-B761-0DE2-3CD3-3AECE7C8A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C324B0" w14:textId="77777777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A8BFE63" w14:textId="547CDE2E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Actualización de metas proyectadas.</w:t>
      </w:r>
    </w:p>
    <w:tbl>
      <w:tblPr>
        <w:tblW w:w="9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1370"/>
        <w:gridCol w:w="1638"/>
        <w:gridCol w:w="1341"/>
        <w:gridCol w:w="1702"/>
      </w:tblGrid>
      <w:tr w:rsidR="001C5040" w:rsidRPr="001C5040" w14:paraId="18011A54" w14:textId="77777777" w:rsidTr="001C5040">
        <w:trPr>
          <w:trHeight w:val="619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FA55A63" w14:textId="3E47026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M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eta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89658C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Unidad de Medida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309A70B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Proyectado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45A1C27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Alcanzado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FF6BEC3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Diferencia </w:t>
            </w:r>
          </w:p>
        </w:tc>
      </w:tr>
      <w:tr w:rsidR="001C5040" w:rsidRPr="001C5040" w14:paraId="797C64A7" w14:textId="77777777" w:rsidTr="001C5040">
        <w:trPr>
          <w:trHeight w:val="1238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DA09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Informes de recepción de bienes para cada una de las 50 unidades de la municipalidad.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D16" w14:textId="1A4353DF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nidad </w:t>
            </w: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8B88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D8BD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C012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-1</w:t>
            </w:r>
          </w:p>
        </w:tc>
      </w:tr>
      <w:tr w:rsidR="001C5040" w:rsidRPr="001C5040" w14:paraId="73444DC3" w14:textId="77777777" w:rsidTr="001C5040">
        <w:trPr>
          <w:trHeight w:val="929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D16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con actualización de estado de los inmuebles de la municipalidad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068D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Porcentaje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4CF3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98%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FEAF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98%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7BE1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0%</w:t>
            </w:r>
          </w:p>
        </w:tc>
      </w:tr>
      <w:tr w:rsidR="001C5040" w:rsidRPr="001C5040" w14:paraId="0A5F60A0" w14:textId="77777777" w:rsidTr="001C5040">
        <w:trPr>
          <w:trHeight w:val="929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8AE" w14:textId="159DCB99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Elaboración de Informe con actualización de estado de los </w:t>
            </w: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vehículos</w:t>
            </w: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la municipalidad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1FC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Porcentaje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1EB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840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DF5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0%</w:t>
            </w:r>
          </w:p>
        </w:tc>
      </w:tr>
      <w:tr w:rsidR="001C5040" w:rsidRPr="001C5040" w14:paraId="09633034" w14:textId="77777777" w:rsidTr="001C5040">
        <w:trPr>
          <w:trHeight w:val="619"/>
        </w:trPr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DE7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Actualización de Ingresos, Traslados y descargos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9E1A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Porcentaje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45A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906B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5%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3CE6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0%</w:t>
            </w:r>
          </w:p>
        </w:tc>
      </w:tr>
    </w:tbl>
    <w:p w14:paraId="5EFE2FD7" w14:textId="77777777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5"/>
        <w:gridCol w:w="1439"/>
        <w:gridCol w:w="1637"/>
        <w:gridCol w:w="1297"/>
        <w:gridCol w:w="1701"/>
      </w:tblGrid>
      <w:tr w:rsidR="001C5040" w:rsidRPr="001C5040" w14:paraId="35D60C4E" w14:textId="77777777" w:rsidTr="001C5040">
        <w:trPr>
          <w:trHeight w:val="9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375230A" w14:textId="56602C25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M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eta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FCDDDAC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Proyectado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7BDDB50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Alcanzado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9935F03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Diferencia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5B0AC7E" w14:textId="50F10245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% Alcanzado en </w:t>
            </w: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>relación</w:t>
            </w:r>
            <w:r w:rsidRPr="001C5040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SV"/>
              </w:rPr>
              <w:t xml:space="preserve"> al proyectado </w:t>
            </w:r>
          </w:p>
        </w:tc>
      </w:tr>
      <w:tr w:rsidR="001C5040" w:rsidRPr="001C5040" w14:paraId="19F73D40" w14:textId="77777777" w:rsidTr="001C5040">
        <w:trPr>
          <w:trHeight w:val="1294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E74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Informes de recepción de bienes para cada una de las 50 unidades de la municipalidad.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0B57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98%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E48A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98%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7D77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1779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</w:tr>
      <w:tr w:rsidR="001C5040" w:rsidRPr="001C5040" w14:paraId="60D84D7F" w14:textId="77777777" w:rsidTr="001C5040">
        <w:trPr>
          <w:trHeight w:val="9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DE2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Elaboración de informe con actualización de estado de los inmuebles de la municipalidad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4255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7871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E6A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00C4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</w:tr>
      <w:tr w:rsidR="001C5040" w:rsidRPr="001C5040" w14:paraId="7721748F" w14:textId="77777777" w:rsidTr="001C5040">
        <w:trPr>
          <w:trHeight w:val="9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E95C" w14:textId="5A510EAC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Elaboración de Informe con actualización de estado de los </w:t>
            </w: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vehículos</w:t>
            </w: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de la municipalidad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61A9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82C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969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31A6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</w:tr>
      <w:tr w:rsidR="001C5040" w:rsidRPr="001C5040" w14:paraId="0F47D34B" w14:textId="77777777" w:rsidTr="001C5040">
        <w:trPr>
          <w:trHeight w:val="646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82F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Actualización de Ingresos, Traslados y descargos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530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4C7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72D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0DDD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0%</w:t>
            </w:r>
          </w:p>
        </w:tc>
      </w:tr>
      <w:tr w:rsidR="001C5040" w:rsidRPr="001C5040" w14:paraId="2C53B1E2" w14:textId="77777777" w:rsidTr="001C5040">
        <w:trPr>
          <w:trHeight w:val="323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181AF53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PROMEDIO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2FDD23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2438DB1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100%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49F6A15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2B59CF9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75%</w:t>
            </w:r>
          </w:p>
        </w:tc>
      </w:tr>
    </w:tbl>
    <w:p w14:paraId="561F94ED" w14:textId="77777777" w:rsidR="00A84CBB" w:rsidRDefault="00A84CBB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C768334" w14:textId="77777777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8AFD07D" w14:textId="77777777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7D710ED" w14:textId="776B4764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Bienes descargados</w:t>
      </w:r>
    </w:p>
    <w:tbl>
      <w:tblPr>
        <w:tblW w:w="6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3457"/>
      </w:tblGrid>
      <w:tr w:rsidR="001C5040" w:rsidRPr="001C5040" w14:paraId="5D226D3B" w14:textId="77777777" w:rsidTr="001C5040">
        <w:trPr>
          <w:trHeight w:val="472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D3E4BCE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EEE70A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SV"/>
              </w:rPr>
              <w:t>Bienes</w:t>
            </w:r>
          </w:p>
        </w:tc>
      </w:tr>
      <w:tr w:rsidR="001C5040" w:rsidRPr="001C5040" w14:paraId="7982F228" w14:textId="77777777" w:rsidTr="001C5040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615B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8946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1C5040" w:rsidRPr="001C5040" w14:paraId="6F299EFE" w14:textId="77777777" w:rsidTr="001C5040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DD6C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397F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1C5040" w:rsidRPr="001C5040" w14:paraId="08E6E40E" w14:textId="77777777" w:rsidTr="001C5040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58A8" w14:textId="77777777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6EB89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1C5040" w:rsidRPr="001C5040" w14:paraId="71BD0E8E" w14:textId="77777777" w:rsidTr="001C5040">
        <w:trPr>
          <w:trHeight w:val="472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952D" w14:textId="5580DF6B" w:rsidR="001C5040" w:rsidRPr="001C5040" w:rsidRDefault="001C5040" w:rsidP="001C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otal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99A5" w14:textId="77777777" w:rsidR="001C5040" w:rsidRPr="001C5040" w:rsidRDefault="001C5040" w:rsidP="001C5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C5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</w:tbl>
    <w:p w14:paraId="0B98BB50" w14:textId="77777777" w:rsidR="001C5040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9F2848B" w14:textId="00D6CDEE" w:rsidR="001C5040" w:rsidRPr="00CA1DB6" w:rsidRDefault="001C5040" w:rsidP="00385E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1C5040" w:rsidRPr="00CA1DB6" w:rsidSect="006621CC">
      <w:headerReference w:type="default" r:id="rId13"/>
      <w:pgSz w:w="12240" w:h="15840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A2F04" w14:textId="77777777" w:rsidR="00C2201C" w:rsidRDefault="00C2201C" w:rsidP="005340E6">
      <w:pPr>
        <w:spacing w:after="0" w:line="240" w:lineRule="auto"/>
      </w:pPr>
      <w:r>
        <w:separator/>
      </w:r>
    </w:p>
  </w:endnote>
  <w:endnote w:type="continuationSeparator" w:id="0">
    <w:p w14:paraId="03D12CB7" w14:textId="77777777" w:rsidR="00C2201C" w:rsidRDefault="00C2201C" w:rsidP="0053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1C400" w14:textId="77777777" w:rsidR="00C2201C" w:rsidRDefault="00C2201C" w:rsidP="005340E6">
      <w:pPr>
        <w:spacing w:after="0" w:line="240" w:lineRule="auto"/>
      </w:pPr>
      <w:r>
        <w:separator/>
      </w:r>
    </w:p>
  </w:footnote>
  <w:footnote w:type="continuationSeparator" w:id="0">
    <w:p w14:paraId="23D187A3" w14:textId="77777777" w:rsidR="00C2201C" w:rsidRDefault="00C2201C" w:rsidP="0053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2438" w14:textId="77777777" w:rsidR="005340E6" w:rsidRDefault="005340E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D3926A4" wp14:editId="248C3B32">
          <wp:simplePos x="0" y="0"/>
          <wp:positionH relativeFrom="margin">
            <wp:posOffset>-685801</wp:posOffset>
          </wp:positionH>
          <wp:positionV relativeFrom="paragraph">
            <wp:posOffset>-309538</wp:posOffset>
          </wp:positionV>
          <wp:extent cx="7394331" cy="1219194"/>
          <wp:effectExtent l="0" t="0" r="0" b="635"/>
          <wp:wrapNone/>
          <wp:docPr id="1052252784" name="Imagen 1052252784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86368" name="Imagen 2092386368" descr="Interfaz de usuario gráfic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001" cy="1220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406A0"/>
    <w:multiLevelType w:val="hybridMultilevel"/>
    <w:tmpl w:val="C1A087D4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61108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F5"/>
    <w:rsid w:val="0007648D"/>
    <w:rsid w:val="000B1CCB"/>
    <w:rsid w:val="001927D5"/>
    <w:rsid w:val="001C5040"/>
    <w:rsid w:val="001D069E"/>
    <w:rsid w:val="002144B2"/>
    <w:rsid w:val="00243FBA"/>
    <w:rsid w:val="002E64F5"/>
    <w:rsid w:val="00324413"/>
    <w:rsid w:val="00385E7E"/>
    <w:rsid w:val="00504C18"/>
    <w:rsid w:val="005340E6"/>
    <w:rsid w:val="00537FA2"/>
    <w:rsid w:val="005424A3"/>
    <w:rsid w:val="005D536B"/>
    <w:rsid w:val="005F0EEB"/>
    <w:rsid w:val="00613BF2"/>
    <w:rsid w:val="006338C1"/>
    <w:rsid w:val="006621CC"/>
    <w:rsid w:val="00956549"/>
    <w:rsid w:val="00A84CBB"/>
    <w:rsid w:val="00C2201C"/>
    <w:rsid w:val="00CA1DB6"/>
    <w:rsid w:val="00E9282E"/>
    <w:rsid w:val="00EB0E4D"/>
    <w:rsid w:val="00F65ADB"/>
    <w:rsid w:val="00F9089E"/>
    <w:rsid w:val="00F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D1310"/>
  <w15:chartTrackingRefBased/>
  <w15:docId w15:val="{1E6D69DE-A4D1-414F-9EFE-EC862104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EB"/>
  </w:style>
  <w:style w:type="paragraph" w:styleId="Ttulo1">
    <w:name w:val="heading 1"/>
    <w:basedOn w:val="Normal"/>
    <w:next w:val="Normal"/>
    <w:link w:val="Ttulo1Car"/>
    <w:uiPriority w:val="9"/>
    <w:qFormat/>
    <w:rsid w:val="002E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4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4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4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4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4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4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4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4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0E6"/>
  </w:style>
  <w:style w:type="paragraph" w:styleId="Piedepgina">
    <w:name w:val="footer"/>
    <w:basedOn w:val="Normal"/>
    <w:link w:val="PiedepginaCar"/>
    <w:uiPriority w:val="99"/>
    <w:unhideWhenUsed/>
    <w:rsid w:val="00534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tivo%20Fijo\Desktop\GESTION%20ING.%20VASQUEZ\Libro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Estimado/real</a:t>
            </a:r>
            <a:r>
              <a:rPr lang="es-SV" baseline="0"/>
              <a:t> mensual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Hoja2!$B$1</c:f>
              <c:strCache>
                <c:ptCount val="1"/>
                <c:pt idx="0">
                  <c:v>Inmueble por dia/estimado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Hoja2!$A$2:$A$4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 </c:v>
                </c:pt>
              </c:strCache>
            </c:strRef>
          </c:cat>
          <c:val>
            <c:numRef>
              <c:f>Hoja2!$B$2:$B$4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D0-44C6-AA6D-49049D3AD22C}"/>
            </c:ext>
          </c:extLst>
        </c:ser>
        <c:ser>
          <c:idx val="1"/>
          <c:order val="1"/>
          <c:tx>
            <c:strRef>
              <c:f>Hoja2!$C$1</c:f>
              <c:strCache>
                <c:ptCount val="1"/>
                <c:pt idx="0">
                  <c:v>Inmueble por dia/real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Hoja2!$A$2:$A$4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 </c:v>
                </c:pt>
              </c:strCache>
            </c:strRef>
          </c:cat>
          <c:val>
            <c:numRef>
              <c:f>Hoja2!$C$2:$C$4</c:f>
              <c:numCache>
                <c:formatCode>General</c:formatCode>
                <c:ptCount val="3"/>
                <c:pt idx="0">
                  <c:v>0</c:v>
                </c:pt>
                <c:pt idx="1">
                  <c:v>183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D0-44C6-AA6D-49049D3AD2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854756831"/>
        <c:axId val="1854752991"/>
      </c:barChart>
      <c:catAx>
        <c:axId val="18547568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Mes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4752991"/>
        <c:crosses val="autoZero"/>
        <c:auto val="1"/>
        <c:lblAlgn val="ctr"/>
        <c:lblOffset val="100"/>
        <c:noMultiLvlLbl val="0"/>
      </c:catAx>
      <c:valAx>
        <c:axId val="185475299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  <a:r>
                  <a:rPr lang="es-SV" baseline="0"/>
                  <a:t> bien</a:t>
                </a:r>
                <a:endParaRPr lang="es-SV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54756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clasificacion</a:t>
            </a:r>
            <a:r>
              <a:rPr lang="es-SV" baseline="0"/>
              <a:t> de bienes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Hoja3!$C$1:$G$1</c:f>
              <c:strCache>
                <c:ptCount val="5"/>
                <c:pt idx="0">
                  <c:v>Q habitada </c:v>
                </c:pt>
                <c:pt idx="1">
                  <c:v>Q usurpada</c:v>
                </c:pt>
                <c:pt idx="2">
                  <c:v>Q zona rural </c:v>
                </c:pt>
                <c:pt idx="3">
                  <c:v>Q zona recreativa</c:v>
                </c:pt>
                <c:pt idx="4">
                  <c:v>Q zona comun</c:v>
                </c:pt>
              </c:strCache>
            </c:strRef>
          </c:cat>
          <c:val>
            <c:numRef>
              <c:f>Hoja3!$C$2:$G$2</c:f>
              <c:numCache>
                <c:formatCode>General</c:formatCode>
                <c:ptCount val="5"/>
                <c:pt idx="0">
                  <c:v>150</c:v>
                </c:pt>
                <c:pt idx="1">
                  <c:v>9</c:v>
                </c:pt>
                <c:pt idx="2">
                  <c:v>33</c:v>
                </c:pt>
                <c:pt idx="3">
                  <c:v>62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2-4BCF-8859-5EDF8C5BED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2007939087"/>
        <c:axId val="2007939567"/>
      </c:barChart>
      <c:catAx>
        <c:axId val="20079390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Clasificacion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7939567"/>
        <c:crosses val="autoZero"/>
        <c:auto val="1"/>
        <c:lblAlgn val="ctr"/>
        <c:lblOffset val="100"/>
        <c:noMultiLvlLbl val="0"/>
      </c:catAx>
      <c:valAx>
        <c:axId val="200793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79390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estado</a:t>
            </a:r>
            <a:r>
              <a:rPr lang="es-SV" baseline="0"/>
              <a:t> de la flota vehicular apopa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Hoja4!$A$2:$E$2</c:f>
              <c:strCache>
                <c:ptCount val="5"/>
                <c:pt idx="0">
                  <c:v>En uso</c:v>
                </c:pt>
                <c:pt idx="1">
                  <c:v>Aplica para descargo</c:v>
                </c:pt>
                <c:pt idx="2">
                  <c:v>No identificado fisicamente </c:v>
                </c:pt>
                <c:pt idx="3">
                  <c:v>Descargado</c:v>
                </c:pt>
                <c:pt idx="4">
                  <c:v>En reparacion</c:v>
                </c:pt>
              </c:strCache>
            </c:strRef>
          </c:cat>
          <c:val>
            <c:numRef>
              <c:f>Hoja4!$A$3:$E$3</c:f>
              <c:numCache>
                <c:formatCode>General</c:formatCode>
                <c:ptCount val="5"/>
                <c:pt idx="0">
                  <c:v>29</c:v>
                </c:pt>
                <c:pt idx="1">
                  <c:v>21</c:v>
                </c:pt>
                <c:pt idx="2">
                  <c:v>14</c:v>
                </c:pt>
                <c:pt idx="3">
                  <c:v>10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EE-4E2E-B5BB-11C8932F65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795496031"/>
        <c:axId val="1795493631"/>
      </c:barChart>
      <c:catAx>
        <c:axId val="1795496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Tabla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5493631"/>
        <c:crosses val="autoZero"/>
        <c:auto val="1"/>
        <c:lblAlgn val="ctr"/>
        <c:lblOffset val="100"/>
        <c:noMultiLvlLbl val="0"/>
      </c:catAx>
      <c:valAx>
        <c:axId val="179549363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Clasificacion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549603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Actas de entrega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Hoja1!$B$1:$D$1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Hoja1!$B$2:$D$2</c:f>
              <c:numCache>
                <c:formatCode>General</c:formatCode>
                <c:ptCount val="3"/>
                <c:pt idx="0">
                  <c:v>10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F-4F2F-8141-8EEA0D0B7E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943740095"/>
        <c:axId val="1943737215"/>
      </c:barChart>
      <c:catAx>
        <c:axId val="194374009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Mes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3737215"/>
        <c:crosses val="autoZero"/>
        <c:auto val="1"/>
        <c:lblAlgn val="ctr"/>
        <c:lblOffset val="100"/>
        <c:noMultiLvlLbl val="0"/>
      </c:catAx>
      <c:valAx>
        <c:axId val="194373721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3740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C5D0-C0A5-4DDA-95E1-EDFB3C62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mc04068@ues.edu.sv</dc:creator>
  <cp:keywords/>
  <dc:description/>
  <cp:lastModifiedBy>mc04068@ues.edu.sv</cp:lastModifiedBy>
  <cp:revision>3</cp:revision>
  <dcterms:created xsi:type="dcterms:W3CDTF">2024-10-01T21:11:00Z</dcterms:created>
  <dcterms:modified xsi:type="dcterms:W3CDTF">2024-10-01T21:33:00Z</dcterms:modified>
</cp:coreProperties>
</file>