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6D230C34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 w:rsidR="009A2560">
        <w:rPr>
          <w:rFonts w:ascii="Arial" w:hAnsi="Arial" w:cs="Arial"/>
          <w:sz w:val="24"/>
          <w:szCs w:val="24"/>
          <w:lang w:eastAsia="es-ES"/>
        </w:rPr>
        <w:t>17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9A2560">
        <w:rPr>
          <w:rFonts w:ascii="Arial" w:hAnsi="Arial" w:cs="Arial"/>
          <w:sz w:val="24"/>
          <w:szCs w:val="24"/>
          <w:lang w:eastAsia="es-ES"/>
        </w:rPr>
        <w:t>mayo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467F8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FEC6325" w14:textId="7C26FC50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Por este medio, el Consejo</w:t>
      </w:r>
      <w:r w:rsidRPr="002551F0">
        <w:rPr>
          <w:rFonts w:ascii="Arial" w:hAnsi="Arial" w:cs="Arial"/>
          <w:sz w:val="24"/>
          <w:szCs w:val="24"/>
          <w:lang w:val="es-SV"/>
        </w:rPr>
        <w:t xml:space="preserve"> de Vigilancia de la Profesión de la Contaduría Pública y Auditoría (CVPCPA) </w:t>
      </w:r>
      <w:r w:rsidRPr="002551F0">
        <w:rPr>
          <w:rFonts w:ascii="Arial" w:hAnsi="Arial" w:cs="Arial"/>
          <w:sz w:val="24"/>
          <w:szCs w:val="24"/>
          <w:lang w:eastAsia="es-ES"/>
        </w:rPr>
        <w:t xml:space="preserve">a través de la Unidad de Acceso a la Información Pública, </w:t>
      </w:r>
      <w:r w:rsidRPr="002551F0">
        <w:rPr>
          <w:rFonts w:ascii="Arial" w:hAnsi="Arial" w:cs="Arial"/>
          <w:sz w:val="24"/>
          <w:szCs w:val="24"/>
        </w:rPr>
        <w:t xml:space="preserve">hace de su conocimiento que en relación al Art. 10, numeral 6 de la Ley de Acceso a la Información Pública, en la parte a la que se refiere sobre “Listado de asesores, determinando sus respectivas funciones”, el CVPCPA, manifiesta no  ha contratado a ninguna persona para ocupar dicho cargo, esto aplica parapara el </w:t>
      </w:r>
      <w:r w:rsidR="009A2560">
        <w:rPr>
          <w:rFonts w:ascii="Arial" w:hAnsi="Arial" w:cs="Arial"/>
          <w:sz w:val="24"/>
          <w:szCs w:val="24"/>
        </w:rPr>
        <w:t>trimestre</w:t>
      </w:r>
      <w:r w:rsidR="00B67F05">
        <w:rPr>
          <w:rFonts w:ascii="Arial" w:hAnsi="Arial" w:cs="Arial"/>
          <w:sz w:val="24"/>
          <w:szCs w:val="24"/>
        </w:rPr>
        <w:t xml:space="preserve"> de</w:t>
      </w:r>
      <w:r w:rsidR="009A2560">
        <w:rPr>
          <w:rFonts w:ascii="Arial" w:hAnsi="Arial" w:cs="Arial"/>
          <w:sz w:val="24"/>
          <w:szCs w:val="24"/>
        </w:rPr>
        <w:t>:</w:t>
      </w:r>
      <w:r w:rsidR="00B67F05">
        <w:rPr>
          <w:rFonts w:ascii="Arial" w:hAnsi="Arial" w:cs="Arial"/>
          <w:sz w:val="24"/>
          <w:szCs w:val="24"/>
        </w:rPr>
        <w:t xml:space="preserve"> </w:t>
      </w:r>
      <w:r w:rsidR="00B67F05" w:rsidRPr="002551F0">
        <w:rPr>
          <w:rFonts w:ascii="Arial" w:hAnsi="Arial" w:cs="Arial"/>
          <w:sz w:val="24"/>
          <w:szCs w:val="24"/>
        </w:rPr>
        <w:t>F</w:t>
      </w:r>
      <w:r w:rsidRPr="002551F0">
        <w:rPr>
          <w:rFonts w:ascii="Arial" w:hAnsi="Arial" w:cs="Arial"/>
          <w:sz w:val="24"/>
          <w:szCs w:val="24"/>
        </w:rPr>
        <w:t>ebrero</w:t>
      </w:r>
      <w:r w:rsidR="00B67F05">
        <w:rPr>
          <w:rFonts w:ascii="Arial" w:hAnsi="Arial" w:cs="Arial"/>
          <w:sz w:val="24"/>
          <w:szCs w:val="24"/>
        </w:rPr>
        <w:t xml:space="preserve">, </w:t>
      </w:r>
      <w:r w:rsidRPr="002551F0">
        <w:rPr>
          <w:rFonts w:ascii="Arial" w:hAnsi="Arial" w:cs="Arial"/>
          <w:sz w:val="24"/>
          <w:szCs w:val="24"/>
        </w:rPr>
        <w:t>marzo</w:t>
      </w:r>
      <w:r w:rsidR="00B67F05">
        <w:rPr>
          <w:rFonts w:ascii="Arial" w:hAnsi="Arial" w:cs="Arial"/>
          <w:sz w:val="24"/>
          <w:szCs w:val="24"/>
        </w:rPr>
        <w:t xml:space="preserve"> y </w:t>
      </w:r>
      <w:r w:rsidRPr="002551F0">
        <w:rPr>
          <w:rFonts w:ascii="Arial" w:hAnsi="Arial" w:cs="Arial"/>
          <w:sz w:val="24"/>
          <w:szCs w:val="24"/>
        </w:rPr>
        <w:t>abril de 202</w:t>
      </w:r>
      <w:r w:rsidR="009A2560">
        <w:rPr>
          <w:rFonts w:ascii="Arial" w:hAnsi="Arial" w:cs="Arial"/>
          <w:sz w:val="24"/>
          <w:szCs w:val="24"/>
        </w:rPr>
        <w:t>0</w:t>
      </w:r>
      <w:r w:rsidRPr="002551F0">
        <w:rPr>
          <w:rFonts w:ascii="Arial" w:hAnsi="Arial" w:cs="Arial"/>
          <w:sz w:val="24"/>
          <w:szCs w:val="24"/>
        </w:rPr>
        <w:t>.</w:t>
      </w:r>
    </w:p>
    <w:p w14:paraId="3AA451F1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467F8B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51575" w14:textId="77777777" w:rsidR="00763A7E" w:rsidRDefault="00763A7E" w:rsidP="002262EF">
      <w:pPr>
        <w:spacing w:after="0" w:line="240" w:lineRule="auto"/>
      </w:pPr>
      <w:r>
        <w:separator/>
      </w:r>
    </w:p>
  </w:endnote>
  <w:endnote w:type="continuationSeparator" w:id="0">
    <w:p w14:paraId="44FB7916" w14:textId="77777777" w:rsidR="00763A7E" w:rsidRDefault="00763A7E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B159" w14:textId="77777777" w:rsidR="00763A7E" w:rsidRDefault="00763A7E" w:rsidP="002262EF">
      <w:pPr>
        <w:spacing w:after="0" w:line="240" w:lineRule="auto"/>
      </w:pPr>
      <w:r>
        <w:separator/>
      </w:r>
    </w:p>
  </w:footnote>
  <w:footnote w:type="continuationSeparator" w:id="0">
    <w:p w14:paraId="316E4AC9" w14:textId="77777777" w:rsidR="00763A7E" w:rsidRDefault="00763A7E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3A7E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2560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4BBD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474A1"/>
    <w:rsid w:val="00B522A2"/>
    <w:rsid w:val="00B5678D"/>
    <w:rsid w:val="00B65D59"/>
    <w:rsid w:val="00B67F05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2021-05-17T18:58:00Z</dcterms:created>
  <dcterms:modified xsi:type="dcterms:W3CDTF">2021-05-17T18:58:00Z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