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38A5D" w14:textId="77777777" w:rsidR="008966F3" w:rsidRDefault="008966F3" w:rsidP="008966F3">
      <w:pPr>
        <w:jc w:val="center"/>
        <w:rPr>
          <w:b/>
          <w:lang w:val="es-SV"/>
        </w:rPr>
      </w:pPr>
    </w:p>
    <w:p w14:paraId="6F02A320" w14:textId="77777777" w:rsidR="008966F3" w:rsidRPr="0058387D" w:rsidRDefault="008966F3" w:rsidP="008966F3">
      <w:pPr>
        <w:jc w:val="center"/>
        <w:rPr>
          <w:b/>
          <w:sz w:val="24"/>
          <w:szCs w:val="24"/>
          <w:lang w:val="es-SV"/>
        </w:rPr>
      </w:pPr>
    </w:p>
    <w:p w14:paraId="134BE344" w14:textId="4F1A9DA1" w:rsidR="00DE180C" w:rsidRPr="0058387D" w:rsidRDefault="00BB1EA0" w:rsidP="00BB1EA0">
      <w:pPr>
        <w:jc w:val="right"/>
        <w:rPr>
          <w:sz w:val="24"/>
          <w:szCs w:val="24"/>
          <w:lang w:val="es-SV"/>
        </w:rPr>
      </w:pPr>
      <w:r w:rsidRPr="0058387D">
        <w:rPr>
          <w:sz w:val="24"/>
          <w:szCs w:val="24"/>
          <w:lang w:val="es-SV"/>
        </w:rPr>
        <w:t xml:space="preserve">San Salvador, </w:t>
      </w:r>
      <w:r w:rsidR="003E2ABA" w:rsidRPr="0058387D">
        <w:rPr>
          <w:sz w:val="24"/>
          <w:szCs w:val="24"/>
          <w:lang w:val="es-SV"/>
        </w:rPr>
        <w:t xml:space="preserve">octubre </w:t>
      </w:r>
      <w:r w:rsidRPr="0058387D">
        <w:rPr>
          <w:sz w:val="24"/>
          <w:szCs w:val="24"/>
          <w:lang w:val="es-SV"/>
        </w:rPr>
        <w:t>de 2020</w:t>
      </w:r>
    </w:p>
    <w:p w14:paraId="798ABEEA" w14:textId="77777777" w:rsidR="00163EBC" w:rsidRPr="0058387D" w:rsidRDefault="00163EBC" w:rsidP="00DE180C">
      <w:pPr>
        <w:jc w:val="both"/>
        <w:rPr>
          <w:sz w:val="24"/>
          <w:szCs w:val="24"/>
          <w:lang w:val="es-SV"/>
        </w:rPr>
      </w:pPr>
    </w:p>
    <w:p w14:paraId="46817BF8" w14:textId="77777777" w:rsidR="00EA7E00" w:rsidRPr="0058387D" w:rsidRDefault="00EA7E00" w:rsidP="00BB1EA0">
      <w:pPr>
        <w:jc w:val="both"/>
        <w:rPr>
          <w:sz w:val="24"/>
          <w:szCs w:val="24"/>
          <w:lang w:val="es-SV"/>
        </w:rPr>
      </w:pPr>
    </w:p>
    <w:p w14:paraId="4B8AFC4D" w14:textId="6708D57D" w:rsidR="00BB1EA0" w:rsidRPr="0058387D" w:rsidRDefault="00EA7E00" w:rsidP="00BB1EA0">
      <w:pPr>
        <w:jc w:val="both"/>
        <w:rPr>
          <w:sz w:val="24"/>
          <w:szCs w:val="24"/>
          <w:lang w:val="es-SV"/>
        </w:rPr>
      </w:pPr>
      <w:r w:rsidRPr="0058387D">
        <w:rPr>
          <w:sz w:val="24"/>
          <w:szCs w:val="24"/>
          <w:lang w:val="es-SV"/>
        </w:rPr>
        <w:t xml:space="preserve">En cumplimiento a la Ley de Acceso a la Información Pública (LAIP), </w:t>
      </w:r>
      <w:r w:rsidR="003509BF" w:rsidRPr="0058387D">
        <w:rPr>
          <w:sz w:val="24"/>
          <w:szCs w:val="24"/>
          <w:lang w:val="es-SV"/>
        </w:rPr>
        <w:t>El Consejo Nacional de la Niñez y de la Adolescencia</w:t>
      </w:r>
      <w:r w:rsidR="00440764" w:rsidRPr="0058387D">
        <w:rPr>
          <w:sz w:val="24"/>
          <w:szCs w:val="24"/>
          <w:lang w:val="es-SV"/>
        </w:rPr>
        <w:t xml:space="preserve"> (CONNA</w:t>
      </w:r>
      <w:r w:rsidR="00BB1EA0" w:rsidRPr="0058387D">
        <w:rPr>
          <w:sz w:val="24"/>
          <w:szCs w:val="24"/>
          <w:lang w:val="es-SV"/>
        </w:rPr>
        <w:t>), por este medio hace del conocimiento al público en general que en relación al Art. 10 numeral 15 de la Ley de Acceso a la Información Pública sobre el listado de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número de beneficiarios, empresa o entidad ejecutora y supervisora,</w:t>
      </w:r>
      <w:bookmarkStart w:id="0" w:name="_GoBack"/>
      <w:bookmarkEnd w:id="0"/>
      <w:r w:rsidR="00BB1EA0" w:rsidRPr="0058387D">
        <w:rPr>
          <w:sz w:val="24"/>
          <w:szCs w:val="24"/>
          <w:lang w:val="es-SV"/>
        </w:rPr>
        <w:t xml:space="preserve"> nombre del funcionario responsable de la obra y contenido del contrato correspondiente y sus modificaciones, formas de pago, desembolsos y garantías en los últimos tres años; se informa que </w:t>
      </w:r>
      <w:r w:rsidR="001D33C1" w:rsidRPr="0058387D">
        <w:rPr>
          <w:sz w:val="24"/>
          <w:szCs w:val="24"/>
          <w:lang w:val="es-SV"/>
        </w:rPr>
        <w:t xml:space="preserve">en el mes de </w:t>
      </w:r>
      <w:r w:rsidR="003E2ABA" w:rsidRPr="0058387D">
        <w:rPr>
          <w:sz w:val="24"/>
          <w:szCs w:val="24"/>
          <w:lang w:val="es-SV"/>
        </w:rPr>
        <w:t xml:space="preserve">octubre </w:t>
      </w:r>
      <w:r w:rsidR="00BB1EA0" w:rsidRPr="0058387D">
        <w:rPr>
          <w:sz w:val="24"/>
          <w:szCs w:val="24"/>
          <w:lang w:val="es-SV"/>
        </w:rPr>
        <w:t>de dos mil veinte no se reportan la existencia de obras en ejecución, por lo que no es posible publicar la información</w:t>
      </w:r>
      <w:r w:rsidRPr="0058387D">
        <w:rPr>
          <w:sz w:val="24"/>
          <w:szCs w:val="24"/>
          <w:lang w:val="es-SV"/>
        </w:rPr>
        <w:t xml:space="preserve"> que refiere el marco normativo </w:t>
      </w:r>
      <w:r w:rsidR="00BB1EA0" w:rsidRPr="0058387D">
        <w:rPr>
          <w:sz w:val="24"/>
          <w:szCs w:val="24"/>
          <w:lang w:val="es-SV"/>
        </w:rPr>
        <w:t xml:space="preserve">por ser inexistente. </w:t>
      </w:r>
    </w:p>
    <w:p w14:paraId="0F271813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7EA773D6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7913DA4A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69D359BB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6C264A0D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13F3BCE0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</w:p>
    <w:p w14:paraId="66D1A1A4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  <w:r w:rsidRPr="0058387D">
        <w:rPr>
          <w:rFonts w:eastAsiaTheme="minorHAnsi"/>
          <w:noProof/>
          <w:sz w:val="24"/>
          <w:szCs w:val="24"/>
          <w:lang w:val="es-SV"/>
        </w:rPr>
        <w:t>Laura Lisett Centeno Zavaleta</w:t>
      </w:r>
    </w:p>
    <w:p w14:paraId="133305B2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  <w:r w:rsidRPr="0058387D">
        <w:rPr>
          <w:rFonts w:eastAsiaTheme="minorHAnsi"/>
          <w:noProof/>
          <w:sz w:val="24"/>
          <w:szCs w:val="24"/>
          <w:lang w:val="es-SV"/>
        </w:rPr>
        <w:t xml:space="preserve">Oficial de Infomación. </w:t>
      </w:r>
    </w:p>
    <w:p w14:paraId="276E2D78" w14:textId="77777777" w:rsidR="00EA7E00" w:rsidRPr="0058387D" w:rsidRDefault="00EA7E00" w:rsidP="00EA7E00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noProof/>
          <w:sz w:val="24"/>
          <w:szCs w:val="24"/>
          <w:lang w:val="es-SV"/>
        </w:rPr>
      </w:pPr>
      <w:r w:rsidRPr="0058387D">
        <w:rPr>
          <w:rFonts w:eastAsiaTheme="minorHAnsi"/>
          <w:noProof/>
          <w:sz w:val="24"/>
          <w:szCs w:val="24"/>
          <w:lang w:val="es-SV"/>
        </w:rPr>
        <w:t>CONNA</w:t>
      </w:r>
    </w:p>
    <w:p w14:paraId="7D6D4BF0" w14:textId="77777777" w:rsidR="00BB1EA0" w:rsidRPr="00EA7E00" w:rsidRDefault="00BB1EA0" w:rsidP="00DE180C">
      <w:pPr>
        <w:jc w:val="both"/>
        <w:rPr>
          <w:rFonts w:asciiTheme="minorHAnsi" w:hAnsiTheme="minorHAnsi"/>
          <w:sz w:val="22"/>
          <w:szCs w:val="22"/>
          <w:lang w:val="es-SV"/>
        </w:rPr>
      </w:pPr>
    </w:p>
    <w:p w14:paraId="32CD7D4D" w14:textId="0A3D676F" w:rsidR="00BB1EA0" w:rsidRDefault="00BB1EA0">
      <w:pPr>
        <w:rPr>
          <w:lang w:val="es-SV"/>
        </w:rPr>
      </w:pPr>
    </w:p>
    <w:sectPr w:rsidR="00BB1EA0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A7C3D" w14:textId="77777777" w:rsidR="007E44EA" w:rsidRDefault="007E44EA">
      <w:pPr>
        <w:spacing w:after="0" w:line="240" w:lineRule="auto"/>
      </w:pPr>
      <w:r>
        <w:separator/>
      </w:r>
    </w:p>
  </w:endnote>
  <w:endnote w:type="continuationSeparator" w:id="0">
    <w:p w14:paraId="4118BB1E" w14:textId="77777777" w:rsidR="007E44EA" w:rsidRDefault="007E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B168F5" w:rsidRPr="00EB7934" w:rsidRDefault="00B168F5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B168F5" w:rsidRPr="00EB7934" w:rsidRDefault="00B168F5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B168F5" w:rsidRPr="009805F7" w:rsidRDefault="00B168F5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876BF" w14:textId="77777777" w:rsidR="007E44EA" w:rsidRDefault="007E44EA">
      <w:pPr>
        <w:spacing w:after="0" w:line="240" w:lineRule="auto"/>
      </w:pPr>
      <w:r>
        <w:separator/>
      </w:r>
    </w:p>
  </w:footnote>
  <w:footnote w:type="continuationSeparator" w:id="0">
    <w:p w14:paraId="6AF119CF" w14:textId="77777777" w:rsidR="007E44EA" w:rsidRDefault="007E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B168F5" w:rsidRDefault="00B168F5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B168F5" w:rsidRDefault="007E44EA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C12D7"/>
    <w:multiLevelType w:val="hybridMultilevel"/>
    <w:tmpl w:val="693CB716"/>
    <w:lvl w:ilvl="0" w:tplc="0EA4F0FA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F03A1"/>
    <w:multiLevelType w:val="multilevel"/>
    <w:tmpl w:val="BF8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66054"/>
    <w:rsid w:val="00067009"/>
    <w:rsid w:val="000814FD"/>
    <w:rsid w:val="00092ED2"/>
    <w:rsid w:val="000A050C"/>
    <w:rsid w:val="000A242B"/>
    <w:rsid w:val="000B5684"/>
    <w:rsid w:val="000E426C"/>
    <w:rsid w:val="00105331"/>
    <w:rsid w:val="00163EBC"/>
    <w:rsid w:val="001657B9"/>
    <w:rsid w:val="0017300F"/>
    <w:rsid w:val="0019303B"/>
    <w:rsid w:val="001B01F6"/>
    <w:rsid w:val="001B2B02"/>
    <w:rsid w:val="001D2E9E"/>
    <w:rsid w:val="001D33C1"/>
    <w:rsid w:val="002004CB"/>
    <w:rsid w:val="00216086"/>
    <w:rsid w:val="00220E72"/>
    <w:rsid w:val="002446E1"/>
    <w:rsid w:val="00255594"/>
    <w:rsid w:val="00264521"/>
    <w:rsid w:val="002A1320"/>
    <w:rsid w:val="002A20CE"/>
    <w:rsid w:val="002D404F"/>
    <w:rsid w:val="002E0E7C"/>
    <w:rsid w:val="002E7BED"/>
    <w:rsid w:val="002F2416"/>
    <w:rsid w:val="002F2B3D"/>
    <w:rsid w:val="002F490E"/>
    <w:rsid w:val="003136A7"/>
    <w:rsid w:val="00332978"/>
    <w:rsid w:val="003509BF"/>
    <w:rsid w:val="00355BF6"/>
    <w:rsid w:val="003E2ABA"/>
    <w:rsid w:val="00402069"/>
    <w:rsid w:val="00403722"/>
    <w:rsid w:val="00404CAF"/>
    <w:rsid w:val="00405232"/>
    <w:rsid w:val="00440764"/>
    <w:rsid w:val="00456956"/>
    <w:rsid w:val="0047776D"/>
    <w:rsid w:val="00491716"/>
    <w:rsid w:val="004A30C1"/>
    <w:rsid w:val="004A453D"/>
    <w:rsid w:val="004A6985"/>
    <w:rsid w:val="004A7033"/>
    <w:rsid w:val="004D63EA"/>
    <w:rsid w:val="004E177B"/>
    <w:rsid w:val="004F1318"/>
    <w:rsid w:val="005027E5"/>
    <w:rsid w:val="005044AD"/>
    <w:rsid w:val="00544E3B"/>
    <w:rsid w:val="0055060E"/>
    <w:rsid w:val="00554CB8"/>
    <w:rsid w:val="00556D3A"/>
    <w:rsid w:val="00561FC2"/>
    <w:rsid w:val="0058387D"/>
    <w:rsid w:val="005A5D1F"/>
    <w:rsid w:val="005F2C3E"/>
    <w:rsid w:val="00614369"/>
    <w:rsid w:val="00623116"/>
    <w:rsid w:val="00632F7C"/>
    <w:rsid w:val="00653C86"/>
    <w:rsid w:val="0067763D"/>
    <w:rsid w:val="006A5263"/>
    <w:rsid w:val="006B13A8"/>
    <w:rsid w:val="006E077C"/>
    <w:rsid w:val="00704E76"/>
    <w:rsid w:val="007231B9"/>
    <w:rsid w:val="00735C74"/>
    <w:rsid w:val="00766FE5"/>
    <w:rsid w:val="007717D1"/>
    <w:rsid w:val="00793CA1"/>
    <w:rsid w:val="007B2E4C"/>
    <w:rsid w:val="007C227A"/>
    <w:rsid w:val="007D0379"/>
    <w:rsid w:val="007E44EA"/>
    <w:rsid w:val="007F0AB7"/>
    <w:rsid w:val="0080495E"/>
    <w:rsid w:val="008537BC"/>
    <w:rsid w:val="008839A0"/>
    <w:rsid w:val="0089249F"/>
    <w:rsid w:val="008966F3"/>
    <w:rsid w:val="008A4E24"/>
    <w:rsid w:val="008D53E0"/>
    <w:rsid w:val="008D5869"/>
    <w:rsid w:val="008E2DAD"/>
    <w:rsid w:val="00911897"/>
    <w:rsid w:val="00927E9B"/>
    <w:rsid w:val="00934A86"/>
    <w:rsid w:val="009401C1"/>
    <w:rsid w:val="00947230"/>
    <w:rsid w:val="00952EB2"/>
    <w:rsid w:val="00964490"/>
    <w:rsid w:val="009805F7"/>
    <w:rsid w:val="009809AB"/>
    <w:rsid w:val="009A2B25"/>
    <w:rsid w:val="009B2C81"/>
    <w:rsid w:val="009D55C9"/>
    <w:rsid w:val="009F00A1"/>
    <w:rsid w:val="009F03F1"/>
    <w:rsid w:val="00A02A35"/>
    <w:rsid w:val="00A149AD"/>
    <w:rsid w:val="00A17B2B"/>
    <w:rsid w:val="00A2401F"/>
    <w:rsid w:val="00A3640C"/>
    <w:rsid w:val="00A56A17"/>
    <w:rsid w:val="00A91441"/>
    <w:rsid w:val="00A9745E"/>
    <w:rsid w:val="00AB393E"/>
    <w:rsid w:val="00AE3E7D"/>
    <w:rsid w:val="00AF6FB7"/>
    <w:rsid w:val="00B02A22"/>
    <w:rsid w:val="00B168F5"/>
    <w:rsid w:val="00B33175"/>
    <w:rsid w:val="00B62B27"/>
    <w:rsid w:val="00B82C56"/>
    <w:rsid w:val="00B85315"/>
    <w:rsid w:val="00B92CDE"/>
    <w:rsid w:val="00BA383F"/>
    <w:rsid w:val="00BB1EA0"/>
    <w:rsid w:val="00BB63E1"/>
    <w:rsid w:val="00BB6683"/>
    <w:rsid w:val="00BF2A06"/>
    <w:rsid w:val="00C17129"/>
    <w:rsid w:val="00C31D4E"/>
    <w:rsid w:val="00C967D6"/>
    <w:rsid w:val="00CB5FE8"/>
    <w:rsid w:val="00CC3CDE"/>
    <w:rsid w:val="00CD598D"/>
    <w:rsid w:val="00D00E68"/>
    <w:rsid w:val="00D5447F"/>
    <w:rsid w:val="00D77200"/>
    <w:rsid w:val="00DA7A55"/>
    <w:rsid w:val="00DC0AED"/>
    <w:rsid w:val="00DD3815"/>
    <w:rsid w:val="00DE180C"/>
    <w:rsid w:val="00DE4558"/>
    <w:rsid w:val="00DF2C97"/>
    <w:rsid w:val="00E04D2F"/>
    <w:rsid w:val="00E30D33"/>
    <w:rsid w:val="00E32FD4"/>
    <w:rsid w:val="00E42A90"/>
    <w:rsid w:val="00E544D7"/>
    <w:rsid w:val="00E64FCA"/>
    <w:rsid w:val="00E71CFE"/>
    <w:rsid w:val="00E87997"/>
    <w:rsid w:val="00E91311"/>
    <w:rsid w:val="00EA7E00"/>
    <w:rsid w:val="00EB0481"/>
    <w:rsid w:val="00EB7934"/>
    <w:rsid w:val="00ED4B8C"/>
    <w:rsid w:val="00ED69FE"/>
    <w:rsid w:val="00EE147D"/>
    <w:rsid w:val="00F213FB"/>
    <w:rsid w:val="00F25DC3"/>
    <w:rsid w:val="00F42916"/>
    <w:rsid w:val="00F51AC3"/>
    <w:rsid w:val="00F552F1"/>
    <w:rsid w:val="00F65CE9"/>
    <w:rsid w:val="00F96816"/>
    <w:rsid w:val="00FA2AE0"/>
    <w:rsid w:val="00FB2E6D"/>
    <w:rsid w:val="00FD0DB2"/>
    <w:rsid w:val="00FD4F6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544D7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544D7"/>
    <w:rPr>
      <w:rFonts w:ascii="Calibri" w:eastAsia="Calibri" w:hAnsi="Calibri" w:cs="Times New Roman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1B7B03-CF83-487B-AE22-B759A9CB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Laura Lisett Centeno Zavaleta</cp:lastModifiedBy>
  <cp:revision>3</cp:revision>
  <cp:lastPrinted>2020-10-26T17:44:00Z</cp:lastPrinted>
  <dcterms:created xsi:type="dcterms:W3CDTF">2020-10-26T17:39:00Z</dcterms:created>
  <dcterms:modified xsi:type="dcterms:W3CDTF">2020-10-26T17:44:00Z</dcterms:modified>
</cp:coreProperties>
</file>