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C5" w:rsidRPr="00213B53" w:rsidRDefault="00FE5C66" w:rsidP="000E15C5">
      <w:pPr>
        <w:pStyle w:val="Encabezado"/>
        <w:jc w:val="left"/>
        <w:rPr>
          <w:rFonts w:ascii="Segoe Script" w:hAnsi="Segoe Script" w:cs="Segoe Script"/>
          <w:sz w:val="18"/>
          <w:szCs w:val="18"/>
        </w:rPr>
      </w:pPr>
      <w:r>
        <w:rPr>
          <w:rFonts w:ascii="Arial" w:hAnsi="Arial" w:cs="Arial"/>
          <w:noProof/>
          <w:lang w:val="es-SV" w:eastAsia="es-SV"/>
        </w:rPr>
        <w:drawing>
          <wp:anchor distT="0" distB="0" distL="114300" distR="114300" simplePos="0" relativeHeight="251658240" behindDoc="0" locked="0" layoutInCell="1" allowOverlap="1" wp14:anchorId="6882FFE7" wp14:editId="04A0251A">
            <wp:simplePos x="0" y="0"/>
            <wp:positionH relativeFrom="column">
              <wp:posOffset>-110490</wp:posOffset>
            </wp:positionH>
            <wp:positionV relativeFrom="paragraph">
              <wp:posOffset>14605</wp:posOffset>
            </wp:positionV>
            <wp:extent cx="739140" cy="603250"/>
            <wp:effectExtent l="0" t="0" r="3810" b="635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15C5">
        <w:rPr>
          <w:rFonts w:ascii="Segoe Script" w:hAnsi="Segoe Script" w:cs="Segoe Script"/>
          <w:sz w:val="18"/>
          <w:szCs w:val="18"/>
        </w:rPr>
        <w:t xml:space="preserve">                           </w:t>
      </w:r>
      <w:r>
        <w:rPr>
          <w:rFonts w:ascii="Segoe Script" w:hAnsi="Segoe Script" w:cs="Segoe Script"/>
          <w:sz w:val="18"/>
          <w:szCs w:val="18"/>
        </w:rPr>
        <w:t xml:space="preserve"> </w:t>
      </w:r>
      <w:r w:rsidR="000E15C5" w:rsidRPr="00213B53">
        <w:rPr>
          <w:rFonts w:ascii="Segoe Script" w:hAnsi="Segoe Script" w:cs="Segoe Script"/>
          <w:sz w:val="18"/>
          <w:szCs w:val="18"/>
        </w:rPr>
        <w:t>MINISTERIO</w:t>
      </w:r>
      <w:r w:rsidR="000E15C5" w:rsidRPr="00213B53">
        <w:rPr>
          <w:rFonts w:ascii="Segoe Script" w:eastAsia="Segoe Script" w:hAnsi="Segoe Script" w:cs="Segoe Script"/>
          <w:sz w:val="18"/>
          <w:szCs w:val="18"/>
        </w:rPr>
        <w:t xml:space="preserve"> </w:t>
      </w:r>
      <w:r w:rsidR="000E15C5" w:rsidRPr="00213B53">
        <w:rPr>
          <w:rFonts w:ascii="Segoe Script" w:hAnsi="Segoe Script" w:cs="Segoe Script"/>
          <w:sz w:val="18"/>
          <w:szCs w:val="18"/>
        </w:rPr>
        <w:t>DE</w:t>
      </w:r>
      <w:r w:rsidR="000E15C5" w:rsidRPr="00213B53">
        <w:rPr>
          <w:rFonts w:ascii="Segoe Script" w:eastAsia="Segoe Script" w:hAnsi="Segoe Script" w:cs="Segoe Script"/>
          <w:sz w:val="18"/>
          <w:szCs w:val="18"/>
        </w:rPr>
        <w:t xml:space="preserve"> </w:t>
      </w:r>
      <w:r w:rsidR="000E15C5" w:rsidRPr="00213B53">
        <w:rPr>
          <w:rFonts w:ascii="Segoe Script" w:hAnsi="Segoe Script" w:cs="Segoe Script"/>
          <w:sz w:val="18"/>
          <w:szCs w:val="18"/>
        </w:rPr>
        <w:t>EDUCACIÓN</w:t>
      </w:r>
      <w:r w:rsidR="000E15C5">
        <w:rPr>
          <w:rFonts w:ascii="Segoe Script" w:hAnsi="Segoe Script" w:cs="Segoe Script"/>
          <w:sz w:val="18"/>
          <w:szCs w:val="18"/>
        </w:rPr>
        <w:t xml:space="preserve">           </w:t>
      </w:r>
      <w:r w:rsidR="000E15C5">
        <w:rPr>
          <w:noProof/>
          <w:lang w:val="es-SV" w:eastAsia="es-SV"/>
        </w:rPr>
        <w:drawing>
          <wp:inline distT="0" distB="0" distL="0" distR="0" wp14:anchorId="4657C903" wp14:editId="30C750E2">
            <wp:extent cx="759498" cy="604299"/>
            <wp:effectExtent l="19050" t="19050" r="21590" b="2476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13" cy="60208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E15C5" w:rsidRDefault="000E15C5" w:rsidP="000E15C5">
      <w:pPr>
        <w:pStyle w:val="Encabezado"/>
        <w:rPr>
          <w:rFonts w:ascii="Segoe Script" w:hAnsi="Segoe Script" w:cs="Segoe Script"/>
          <w:sz w:val="18"/>
          <w:szCs w:val="18"/>
        </w:rPr>
      </w:pPr>
      <w:r w:rsidRPr="00213B53">
        <w:rPr>
          <w:rFonts w:ascii="Segoe Script" w:hAnsi="Segoe Script" w:cs="Segoe Script"/>
          <w:sz w:val="18"/>
          <w:szCs w:val="18"/>
        </w:rPr>
        <w:t>DIRECCIÓN</w:t>
      </w:r>
      <w:r w:rsidRPr="00213B53">
        <w:rPr>
          <w:rFonts w:ascii="Segoe Script" w:eastAsia="Segoe Script" w:hAnsi="Segoe Script" w:cs="Segoe Script"/>
          <w:sz w:val="18"/>
          <w:szCs w:val="18"/>
        </w:rPr>
        <w:t xml:space="preserve"> </w:t>
      </w:r>
      <w:r w:rsidRPr="00213B53">
        <w:rPr>
          <w:rFonts w:ascii="Segoe Script" w:hAnsi="Segoe Script" w:cs="Segoe Script"/>
          <w:sz w:val="18"/>
          <w:szCs w:val="18"/>
        </w:rPr>
        <w:t>DE</w:t>
      </w:r>
      <w:r w:rsidRPr="00213B53">
        <w:rPr>
          <w:rFonts w:ascii="Segoe Script" w:eastAsia="Segoe Script" w:hAnsi="Segoe Script" w:cs="Segoe Script"/>
          <w:sz w:val="18"/>
          <w:szCs w:val="18"/>
        </w:rPr>
        <w:t xml:space="preserve"> </w:t>
      </w:r>
      <w:r w:rsidRPr="00213B53">
        <w:rPr>
          <w:rFonts w:ascii="Segoe Script" w:hAnsi="Segoe Script" w:cs="Segoe Script"/>
          <w:sz w:val="18"/>
          <w:szCs w:val="18"/>
        </w:rPr>
        <w:t>TRANSPARENCIA</w:t>
      </w:r>
    </w:p>
    <w:p w:rsidR="001E066D" w:rsidRPr="001E066D" w:rsidRDefault="002F406B" w:rsidP="001E066D">
      <w:pPr>
        <w:pStyle w:val="Textoindependiente"/>
        <w:jc w:val="right"/>
        <w:rPr>
          <w:lang w:val="es-ES" w:eastAsia="zh-CN"/>
        </w:rPr>
      </w:pPr>
      <w:r>
        <w:rPr>
          <w:b/>
          <w:lang w:val="es-ES" w:eastAsia="zh-CN"/>
        </w:rPr>
        <w:t>Abril</w:t>
      </w:r>
      <w:r w:rsidR="001E066D" w:rsidRPr="001E066D">
        <w:rPr>
          <w:b/>
          <w:lang w:val="es-ES" w:eastAsia="zh-CN"/>
        </w:rPr>
        <w:t xml:space="preserve"> 2016</w:t>
      </w:r>
      <w:r w:rsidR="001E066D">
        <w:rPr>
          <w:lang w:val="es-ES" w:eastAsia="zh-CN"/>
        </w:rPr>
        <w:t>.</w:t>
      </w:r>
    </w:p>
    <w:p w:rsidR="00EB4C75" w:rsidRDefault="00FE5C66" w:rsidP="001E066D">
      <w:pPr>
        <w:pStyle w:val="Encabezado"/>
        <w:ind w:left="708" w:firstLine="1092"/>
        <w:jc w:val="right"/>
        <w:rPr>
          <w:rFonts w:ascii="Segoe Script" w:hAnsi="Segoe Script" w:cs="Segoe Script"/>
          <w:sz w:val="18"/>
          <w:szCs w:val="18"/>
        </w:rPr>
      </w:pPr>
      <w:r>
        <w:rPr>
          <w:rFonts w:ascii="Segoe Script" w:hAnsi="Segoe Script" w:cs="Segoe Script"/>
          <w:sz w:val="18"/>
          <w:szCs w:val="18"/>
        </w:rPr>
        <w:t xml:space="preserve">         </w:t>
      </w:r>
      <w:r w:rsidR="003A0118">
        <w:rPr>
          <w:rFonts w:ascii="Segoe Script" w:hAnsi="Segoe Script" w:cs="Segoe Script"/>
          <w:sz w:val="18"/>
          <w:szCs w:val="18"/>
        </w:rPr>
        <w:t xml:space="preserve">                       </w:t>
      </w:r>
      <w:r>
        <w:rPr>
          <w:rFonts w:ascii="Segoe Script" w:hAnsi="Segoe Script" w:cs="Segoe Script"/>
          <w:sz w:val="18"/>
          <w:szCs w:val="18"/>
        </w:rPr>
        <w:t xml:space="preserve">  </w:t>
      </w:r>
    </w:p>
    <w:p w:rsidR="00356811" w:rsidRPr="00BD6A3B" w:rsidRDefault="00B6718B" w:rsidP="001E066D">
      <w:pPr>
        <w:pStyle w:val="Textoindependiente"/>
        <w:ind w:left="-709"/>
        <w:jc w:val="both"/>
        <w:rPr>
          <w:sz w:val="18"/>
          <w:szCs w:val="18"/>
          <w:lang w:val="es-ES" w:eastAsia="zh-CN"/>
        </w:rPr>
      </w:pPr>
      <w:r w:rsidRPr="00BD6A3B">
        <w:rPr>
          <w:sz w:val="18"/>
          <w:szCs w:val="18"/>
          <w:lang w:val="es-ES" w:eastAsia="zh-CN"/>
        </w:rPr>
        <w:t>El  Ministerio de Educación con el propósito de  dar cumplimiento a  los  principios con</w:t>
      </w:r>
      <w:r w:rsidR="00420992" w:rsidRPr="00BD6A3B">
        <w:rPr>
          <w:sz w:val="18"/>
          <w:szCs w:val="18"/>
          <w:lang w:val="es-ES" w:eastAsia="zh-CN"/>
        </w:rPr>
        <w:t>templados en  la</w:t>
      </w:r>
      <w:r w:rsidRPr="00BD6A3B">
        <w:rPr>
          <w:sz w:val="18"/>
          <w:szCs w:val="18"/>
          <w:lang w:val="es-ES" w:eastAsia="zh-CN"/>
        </w:rPr>
        <w:t xml:space="preserve"> </w:t>
      </w:r>
      <w:r w:rsidR="00420992" w:rsidRPr="00BD6A3B">
        <w:rPr>
          <w:sz w:val="18"/>
          <w:szCs w:val="18"/>
          <w:lang w:val="es-ES" w:eastAsia="zh-CN"/>
        </w:rPr>
        <w:t>Ley</w:t>
      </w:r>
      <w:r w:rsidRPr="00BD6A3B">
        <w:rPr>
          <w:sz w:val="18"/>
          <w:szCs w:val="18"/>
          <w:lang w:val="es-ES" w:eastAsia="zh-CN"/>
        </w:rPr>
        <w:t xml:space="preserve"> de Acceso  a la Información Pública</w:t>
      </w:r>
      <w:r w:rsidR="006A2345">
        <w:rPr>
          <w:sz w:val="18"/>
          <w:szCs w:val="18"/>
          <w:lang w:val="es-ES" w:eastAsia="zh-CN"/>
        </w:rPr>
        <w:t xml:space="preserve"> relacionados a la rendición de</w:t>
      </w:r>
      <w:r w:rsidRPr="00BD6A3B">
        <w:rPr>
          <w:sz w:val="18"/>
          <w:szCs w:val="18"/>
          <w:lang w:val="es-ES" w:eastAsia="zh-CN"/>
        </w:rPr>
        <w:t xml:space="preserve"> cuentas</w:t>
      </w:r>
      <w:r w:rsidR="00A34B1E" w:rsidRPr="00BD6A3B">
        <w:rPr>
          <w:sz w:val="18"/>
          <w:szCs w:val="18"/>
          <w:lang w:val="es-ES" w:eastAsia="zh-CN"/>
        </w:rPr>
        <w:t>, participación ciudadana y la</w:t>
      </w:r>
      <w:r w:rsidRPr="00BD6A3B">
        <w:rPr>
          <w:sz w:val="18"/>
          <w:szCs w:val="18"/>
          <w:lang w:val="es-ES" w:eastAsia="zh-CN"/>
        </w:rPr>
        <w:t xml:space="preserve"> promoción d</w:t>
      </w:r>
      <w:r w:rsidR="00A34B1E" w:rsidRPr="00BD6A3B">
        <w:rPr>
          <w:sz w:val="18"/>
          <w:szCs w:val="18"/>
          <w:lang w:val="es-ES" w:eastAsia="zh-CN"/>
        </w:rPr>
        <w:t>e la cultura de transparencia</w:t>
      </w:r>
      <w:r w:rsidR="00356811" w:rsidRPr="00BD6A3B">
        <w:rPr>
          <w:sz w:val="18"/>
          <w:szCs w:val="18"/>
          <w:lang w:val="es-ES" w:eastAsia="zh-CN"/>
        </w:rPr>
        <w:t>,</w:t>
      </w:r>
      <w:r w:rsidR="00A34B1E" w:rsidRPr="00BD6A3B">
        <w:rPr>
          <w:sz w:val="18"/>
          <w:szCs w:val="18"/>
        </w:rPr>
        <w:t xml:space="preserve"> ha </w:t>
      </w:r>
      <w:r w:rsidR="00A34B1E" w:rsidRPr="00BD6A3B">
        <w:rPr>
          <w:sz w:val="18"/>
          <w:szCs w:val="18"/>
          <w:lang w:val="es-ES" w:eastAsia="zh-CN"/>
        </w:rPr>
        <w:t xml:space="preserve">estableciendo espacios </w:t>
      </w:r>
      <w:r w:rsidR="00356811" w:rsidRPr="00BD6A3B">
        <w:rPr>
          <w:sz w:val="18"/>
          <w:szCs w:val="18"/>
          <w:lang w:val="es-ES" w:eastAsia="zh-CN"/>
        </w:rPr>
        <w:t xml:space="preserve">que facilitan la implementación de los diferentes mecanismo  </w:t>
      </w:r>
      <w:r w:rsidR="00A34B1E" w:rsidRPr="00BD6A3B">
        <w:rPr>
          <w:sz w:val="18"/>
          <w:szCs w:val="18"/>
          <w:lang w:val="es-ES" w:eastAsia="zh-CN"/>
        </w:rPr>
        <w:t xml:space="preserve">de participación ciudadana, a través de </w:t>
      </w:r>
      <w:r w:rsidR="006A2345">
        <w:rPr>
          <w:sz w:val="18"/>
          <w:szCs w:val="18"/>
          <w:lang w:val="es-ES" w:eastAsia="zh-CN"/>
        </w:rPr>
        <w:t>los cuales se dan</w:t>
      </w:r>
      <w:r w:rsidR="00D93F92" w:rsidRPr="00BD6A3B">
        <w:rPr>
          <w:sz w:val="18"/>
          <w:szCs w:val="18"/>
          <w:lang w:val="es-ES" w:eastAsia="zh-CN"/>
        </w:rPr>
        <w:t xml:space="preserve"> a conocer los resultados, se</w:t>
      </w:r>
      <w:r w:rsidR="00A34B1E" w:rsidRPr="00BD6A3B">
        <w:rPr>
          <w:sz w:val="18"/>
          <w:szCs w:val="18"/>
          <w:lang w:val="es-ES" w:eastAsia="zh-CN"/>
        </w:rPr>
        <w:t xml:space="preserve"> recibe</w:t>
      </w:r>
      <w:r w:rsidR="00D93F92" w:rsidRPr="00BD6A3B">
        <w:rPr>
          <w:sz w:val="18"/>
          <w:szCs w:val="18"/>
          <w:lang w:val="es-ES" w:eastAsia="zh-CN"/>
        </w:rPr>
        <w:t xml:space="preserve"> aportes, propuestas</w:t>
      </w:r>
      <w:r w:rsidR="00356811" w:rsidRPr="00BD6A3B">
        <w:rPr>
          <w:sz w:val="18"/>
          <w:szCs w:val="18"/>
          <w:lang w:val="es-ES" w:eastAsia="zh-CN"/>
        </w:rPr>
        <w:t xml:space="preserve">, solicitudes </w:t>
      </w:r>
      <w:r w:rsidR="00D93F92" w:rsidRPr="00BD6A3B">
        <w:rPr>
          <w:sz w:val="18"/>
          <w:szCs w:val="18"/>
          <w:lang w:val="es-ES" w:eastAsia="zh-CN"/>
        </w:rPr>
        <w:t xml:space="preserve"> y</w:t>
      </w:r>
      <w:r w:rsidR="00A34B1E" w:rsidRPr="00BD6A3B">
        <w:rPr>
          <w:sz w:val="18"/>
          <w:szCs w:val="18"/>
          <w:lang w:val="es-ES" w:eastAsia="zh-CN"/>
        </w:rPr>
        <w:t xml:space="preserve"> críticas</w:t>
      </w:r>
      <w:r w:rsidR="00356811" w:rsidRPr="00BD6A3B">
        <w:rPr>
          <w:sz w:val="18"/>
          <w:szCs w:val="18"/>
          <w:lang w:val="es-ES" w:eastAsia="zh-CN"/>
        </w:rPr>
        <w:t xml:space="preserve"> a lo realizado, permitiendo la canalización e</w:t>
      </w:r>
      <w:r w:rsidR="00A34B1E" w:rsidRPr="00BD6A3B">
        <w:rPr>
          <w:sz w:val="18"/>
          <w:szCs w:val="18"/>
          <w:lang w:val="es-ES" w:eastAsia="zh-CN"/>
        </w:rPr>
        <w:t xml:space="preserve"> </w:t>
      </w:r>
      <w:r w:rsidR="00D93F92" w:rsidRPr="00BD6A3B">
        <w:rPr>
          <w:sz w:val="18"/>
          <w:szCs w:val="18"/>
          <w:lang w:val="es-ES" w:eastAsia="zh-CN"/>
        </w:rPr>
        <w:t>implementa</w:t>
      </w:r>
      <w:r w:rsidR="00356811" w:rsidRPr="00BD6A3B">
        <w:rPr>
          <w:sz w:val="18"/>
          <w:szCs w:val="18"/>
          <w:lang w:val="es-ES" w:eastAsia="zh-CN"/>
        </w:rPr>
        <w:t>ción de</w:t>
      </w:r>
      <w:r w:rsidR="00D93F92" w:rsidRPr="00BD6A3B">
        <w:rPr>
          <w:sz w:val="18"/>
          <w:szCs w:val="18"/>
          <w:lang w:val="es-ES" w:eastAsia="zh-CN"/>
        </w:rPr>
        <w:t xml:space="preserve"> las </w:t>
      </w:r>
      <w:r w:rsidR="00A34B1E" w:rsidRPr="00BD6A3B">
        <w:rPr>
          <w:sz w:val="18"/>
          <w:szCs w:val="18"/>
          <w:lang w:val="es-ES" w:eastAsia="zh-CN"/>
        </w:rPr>
        <w:t>mejo</w:t>
      </w:r>
      <w:r w:rsidR="00D93F92" w:rsidRPr="00BD6A3B">
        <w:rPr>
          <w:sz w:val="18"/>
          <w:szCs w:val="18"/>
          <w:lang w:val="es-ES" w:eastAsia="zh-CN"/>
        </w:rPr>
        <w:t xml:space="preserve">ras en  las diferentes áreas  </w:t>
      </w:r>
      <w:r w:rsidR="00356811" w:rsidRPr="00BD6A3B">
        <w:rPr>
          <w:sz w:val="18"/>
          <w:szCs w:val="18"/>
          <w:lang w:val="es-ES" w:eastAsia="zh-CN"/>
        </w:rPr>
        <w:t>establecidas.</w:t>
      </w:r>
    </w:p>
    <w:tbl>
      <w:tblPr>
        <w:tblStyle w:val="Tablaconcuadrcula"/>
        <w:tblW w:w="10207" w:type="dxa"/>
        <w:tblInd w:w="-601" w:type="dxa"/>
        <w:tblLook w:val="04A0" w:firstRow="1" w:lastRow="0" w:firstColumn="1" w:lastColumn="0" w:noHBand="0" w:noVBand="1"/>
      </w:tblPr>
      <w:tblGrid>
        <w:gridCol w:w="5090"/>
        <w:gridCol w:w="5117"/>
      </w:tblGrid>
      <w:tr w:rsidR="00356811" w:rsidTr="00D2700F">
        <w:trPr>
          <w:trHeight w:val="230"/>
        </w:trPr>
        <w:tc>
          <w:tcPr>
            <w:tcW w:w="10207" w:type="dxa"/>
            <w:gridSpan w:val="2"/>
            <w:shd w:val="clear" w:color="auto" w:fill="C6D9F1" w:themeFill="text2" w:themeFillTint="33"/>
          </w:tcPr>
          <w:p w:rsidR="00356811" w:rsidRPr="00D83828" w:rsidRDefault="00356811" w:rsidP="00356811">
            <w:pPr>
              <w:pStyle w:val="Textoindependiente"/>
              <w:jc w:val="center"/>
              <w:rPr>
                <w:b/>
                <w:sz w:val="20"/>
                <w:szCs w:val="20"/>
                <w:lang w:val="es-ES" w:eastAsia="zh-CN"/>
              </w:rPr>
            </w:pPr>
            <w:r w:rsidRPr="00D83828">
              <w:rPr>
                <w:b/>
                <w:sz w:val="20"/>
                <w:szCs w:val="20"/>
                <w:lang w:val="es-ES" w:eastAsia="zh-CN"/>
              </w:rPr>
              <w:t>MECANISMOS DE  PARTICIPACIÓN CIUDADANA</w:t>
            </w:r>
          </w:p>
        </w:tc>
      </w:tr>
      <w:tr w:rsidR="00EB4C75" w:rsidTr="006816A9">
        <w:trPr>
          <w:trHeight w:val="264"/>
        </w:trPr>
        <w:tc>
          <w:tcPr>
            <w:tcW w:w="10207" w:type="dxa"/>
            <w:gridSpan w:val="2"/>
          </w:tcPr>
          <w:p w:rsidR="00EB4C75" w:rsidRPr="00EB4C75" w:rsidRDefault="00EB4C75" w:rsidP="00EB4C75">
            <w:pPr>
              <w:pStyle w:val="Textoindependiente"/>
              <w:jc w:val="center"/>
              <w:rPr>
                <w:sz w:val="20"/>
                <w:szCs w:val="20"/>
                <w:lang w:val="es-ES" w:eastAsia="zh-CN"/>
              </w:rPr>
            </w:pPr>
            <w:r w:rsidRPr="00EB4C75">
              <w:rPr>
                <w:b/>
                <w:sz w:val="20"/>
                <w:szCs w:val="20"/>
                <w:lang w:val="es-ES" w:eastAsia="zh-CN"/>
              </w:rPr>
              <w:t>RENDICIÓN DE  CUENTAS</w:t>
            </w:r>
          </w:p>
        </w:tc>
      </w:tr>
      <w:tr w:rsidR="00356811" w:rsidTr="003A0118">
        <w:tc>
          <w:tcPr>
            <w:tcW w:w="5090" w:type="dxa"/>
          </w:tcPr>
          <w:p w:rsidR="00356811" w:rsidRPr="006816A9" w:rsidRDefault="006816A9" w:rsidP="00BA29C1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  <w:r w:rsidRPr="006816A9">
              <w:rPr>
                <w:b/>
                <w:sz w:val="18"/>
                <w:szCs w:val="18"/>
                <w:lang w:val="es-ES" w:eastAsia="zh-CN"/>
              </w:rPr>
              <w:t>OBJETIVO</w:t>
            </w:r>
          </w:p>
          <w:p w:rsidR="00950034" w:rsidRPr="006816A9" w:rsidRDefault="00950034" w:rsidP="00B25E9E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  <w:r w:rsidRPr="006816A9">
              <w:rPr>
                <w:sz w:val="18"/>
                <w:szCs w:val="18"/>
                <w:lang w:eastAsia="zh-CN"/>
              </w:rPr>
              <w:t>Realizar un di</w:t>
            </w:r>
            <w:r w:rsidR="00B25E9E">
              <w:rPr>
                <w:sz w:val="18"/>
                <w:szCs w:val="18"/>
                <w:lang w:eastAsia="zh-CN"/>
              </w:rPr>
              <w:t>á</w:t>
            </w:r>
            <w:r w:rsidRPr="006816A9">
              <w:rPr>
                <w:sz w:val="18"/>
                <w:szCs w:val="18"/>
                <w:lang w:eastAsia="zh-CN"/>
              </w:rPr>
              <w:t>logo con a la comunidad educativa y los diferentes sectores del territorio</w:t>
            </w:r>
            <w:r w:rsidR="00025FD1" w:rsidRPr="006816A9">
              <w:rPr>
                <w:sz w:val="18"/>
                <w:szCs w:val="18"/>
                <w:lang w:eastAsia="zh-CN"/>
              </w:rPr>
              <w:t xml:space="preserve">, evaluando </w:t>
            </w:r>
            <w:r w:rsidRPr="006816A9">
              <w:rPr>
                <w:sz w:val="18"/>
                <w:szCs w:val="18"/>
                <w:lang w:eastAsia="zh-CN"/>
              </w:rPr>
              <w:t xml:space="preserve">los </w:t>
            </w:r>
            <w:r w:rsidR="00025FD1" w:rsidRPr="006816A9">
              <w:rPr>
                <w:sz w:val="18"/>
                <w:szCs w:val="18"/>
                <w:lang w:eastAsia="zh-CN"/>
              </w:rPr>
              <w:t>avances, obstáculos, logros y dificultades en relación al cum</w:t>
            </w:r>
            <w:r w:rsidRPr="006816A9">
              <w:rPr>
                <w:sz w:val="18"/>
                <w:szCs w:val="18"/>
                <w:lang w:eastAsia="zh-CN"/>
              </w:rPr>
              <w:t>plimiento del plan de trabajo</w:t>
            </w:r>
            <w:r w:rsidR="00025FD1" w:rsidRPr="006816A9">
              <w:rPr>
                <w:sz w:val="18"/>
                <w:szCs w:val="18"/>
                <w:lang w:eastAsia="zh-CN"/>
              </w:rPr>
              <w:t xml:space="preserve"> y las expectativas ciudadanas.</w:t>
            </w:r>
          </w:p>
        </w:tc>
        <w:tc>
          <w:tcPr>
            <w:tcW w:w="5117" w:type="dxa"/>
          </w:tcPr>
          <w:p w:rsidR="00C3451F" w:rsidRPr="006816A9" w:rsidRDefault="006816A9" w:rsidP="00BA29C1">
            <w:pPr>
              <w:pStyle w:val="Textoindependiente"/>
              <w:jc w:val="center"/>
              <w:rPr>
                <w:rFonts w:ascii="Calibri" w:hAnsi="Calibri" w:cs="Calibri"/>
                <w:b/>
                <w:color w:val="333333"/>
                <w:sz w:val="18"/>
                <w:szCs w:val="18"/>
                <w:lang w:val="es"/>
              </w:rPr>
            </w:pPr>
            <w:r w:rsidRPr="006816A9">
              <w:rPr>
                <w:rFonts w:ascii="Calibri" w:hAnsi="Calibri" w:cs="Calibri"/>
                <w:b/>
                <w:color w:val="333333"/>
                <w:sz w:val="18"/>
                <w:szCs w:val="18"/>
                <w:lang w:val="es"/>
              </w:rPr>
              <w:t>ESTRATEGIAS  DE  REALIZACIÓN  DE LA  RENDICIÓN DE CUENTAS</w:t>
            </w:r>
          </w:p>
          <w:p w:rsidR="00356811" w:rsidRPr="006816A9" w:rsidRDefault="0072750D" w:rsidP="00BA29C1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  <w:r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>El Ministerio de</w:t>
            </w:r>
            <w:r w:rsidR="00C3451F" w:rsidRPr="006816A9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Educación realiza la rendición de cuentas a nivel i</w:t>
            </w:r>
            <w:r w:rsidR="00A714BD" w:rsidRPr="006816A9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>nstitucional,</w:t>
            </w:r>
            <w:r w:rsidR="00C3451F" w:rsidRPr="006816A9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departamental y a nivel de</w:t>
            </w:r>
            <w:r w:rsidR="00A714BD" w:rsidRPr="006816A9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Centros</w:t>
            </w:r>
            <w:r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Educativos;  en relación a la</w:t>
            </w:r>
            <w:r w:rsidR="00A714BD" w:rsidRPr="006816A9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rendición de cuentas </w:t>
            </w:r>
            <w:r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>a</w:t>
            </w:r>
            <w:r w:rsidR="00BA29C1" w:rsidRPr="006816A9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nivel departamental, las</w:t>
            </w:r>
            <w:r w:rsidR="00A714BD" w:rsidRPr="006816A9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Di</w:t>
            </w:r>
            <w:r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>recciones</w:t>
            </w:r>
            <w:r w:rsidR="00BA29C1" w:rsidRPr="006816A9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Departamentales de  E</w:t>
            </w:r>
            <w:r w:rsidR="00A714BD" w:rsidRPr="006816A9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>ducación  realizan una  con las  Gobernaciones y  otra  de forma  individualmente.</w:t>
            </w:r>
          </w:p>
        </w:tc>
      </w:tr>
      <w:tr w:rsidR="00356811" w:rsidTr="003A0118">
        <w:tc>
          <w:tcPr>
            <w:tcW w:w="5090" w:type="dxa"/>
          </w:tcPr>
          <w:p w:rsidR="00356811" w:rsidRPr="006816A9" w:rsidRDefault="006816A9" w:rsidP="00950034">
            <w:pPr>
              <w:pStyle w:val="Textoindependiente"/>
              <w:ind w:left="720"/>
              <w:jc w:val="both"/>
              <w:rPr>
                <w:b/>
                <w:sz w:val="18"/>
                <w:szCs w:val="18"/>
                <w:lang w:val="es-ES" w:eastAsia="zh-CN"/>
              </w:rPr>
            </w:pPr>
            <w:r w:rsidRPr="006816A9">
              <w:rPr>
                <w:b/>
                <w:sz w:val="18"/>
                <w:szCs w:val="18"/>
                <w:lang w:val="es-ES" w:eastAsia="zh-CN"/>
              </w:rPr>
              <w:t xml:space="preserve">JORNADAS DE RENDICIÓN DE  CUENTAS  </w:t>
            </w:r>
          </w:p>
          <w:p w:rsidR="00BA29C1" w:rsidRPr="006816A9" w:rsidRDefault="003572F1" w:rsidP="003E3813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  <w:r>
              <w:rPr>
                <w:sz w:val="18"/>
                <w:szCs w:val="18"/>
                <w:lang w:val="es-ES" w:eastAsia="zh-CN"/>
              </w:rPr>
              <w:t>Son</w:t>
            </w:r>
            <w:r w:rsidR="00BA29C1" w:rsidRPr="006816A9">
              <w:rPr>
                <w:sz w:val="18"/>
                <w:szCs w:val="18"/>
                <w:lang w:val="es-ES" w:eastAsia="zh-CN"/>
              </w:rPr>
              <w:t xml:space="preserve"> espacios organizados de participación q</w:t>
            </w:r>
            <w:r w:rsidR="000F0AFA">
              <w:rPr>
                <w:sz w:val="18"/>
                <w:szCs w:val="18"/>
                <w:lang w:val="es-ES" w:eastAsia="zh-CN"/>
              </w:rPr>
              <w:t>ue</w:t>
            </w:r>
            <w:r w:rsidR="006816A9">
              <w:rPr>
                <w:sz w:val="18"/>
                <w:szCs w:val="18"/>
                <w:lang w:val="es-ES" w:eastAsia="zh-CN"/>
              </w:rPr>
              <w:t xml:space="preserve"> el Ministerio de  Educación</w:t>
            </w:r>
            <w:r w:rsidR="00BA29C1" w:rsidRPr="006816A9">
              <w:rPr>
                <w:sz w:val="18"/>
                <w:szCs w:val="18"/>
                <w:lang w:val="es-ES" w:eastAsia="zh-CN"/>
              </w:rPr>
              <w:t xml:space="preserve"> f</w:t>
            </w:r>
            <w:r w:rsidR="006816A9">
              <w:rPr>
                <w:sz w:val="18"/>
                <w:szCs w:val="18"/>
                <w:lang w:val="es-ES" w:eastAsia="zh-CN"/>
              </w:rPr>
              <w:t xml:space="preserve">acilita </w:t>
            </w:r>
            <w:r w:rsidR="006816A9" w:rsidRPr="000F0AFA">
              <w:rPr>
                <w:sz w:val="18"/>
                <w:szCs w:val="18"/>
                <w:lang w:val="es-ES" w:eastAsia="zh-CN"/>
              </w:rPr>
              <w:t xml:space="preserve">para </w:t>
            </w:r>
            <w:r w:rsidR="000F0AFA" w:rsidRPr="000F0AFA">
              <w:rPr>
                <w:sz w:val="18"/>
                <w:szCs w:val="18"/>
                <w:lang w:val="es-ES" w:eastAsia="zh-CN"/>
              </w:rPr>
              <w:t>informar</w:t>
            </w:r>
            <w:r w:rsidR="00E03CF5" w:rsidRPr="006816A9">
              <w:rPr>
                <w:sz w:val="18"/>
                <w:szCs w:val="18"/>
                <w:lang w:val="es-ES" w:eastAsia="zh-CN"/>
              </w:rPr>
              <w:t xml:space="preserve"> </w:t>
            </w:r>
            <w:r w:rsidR="000F0AFA">
              <w:rPr>
                <w:sz w:val="18"/>
                <w:szCs w:val="18"/>
                <w:lang w:val="es-ES" w:eastAsia="zh-CN"/>
              </w:rPr>
              <w:t xml:space="preserve">a </w:t>
            </w:r>
            <w:r w:rsidR="00E03CF5" w:rsidRPr="006816A9">
              <w:rPr>
                <w:sz w:val="18"/>
                <w:szCs w:val="18"/>
                <w:lang w:val="es-ES" w:eastAsia="zh-CN"/>
              </w:rPr>
              <w:t>la comunidad</w:t>
            </w:r>
            <w:r w:rsidR="006816A9">
              <w:rPr>
                <w:sz w:val="18"/>
                <w:szCs w:val="18"/>
                <w:lang w:val="es-ES" w:eastAsia="zh-CN"/>
              </w:rPr>
              <w:t xml:space="preserve"> educativa y</w:t>
            </w:r>
            <w:r w:rsidR="003E3813">
              <w:rPr>
                <w:sz w:val="18"/>
                <w:szCs w:val="18"/>
                <w:lang w:val="es-ES" w:eastAsia="zh-CN"/>
              </w:rPr>
              <w:t xml:space="preserve"> los diferentes sectores del</w:t>
            </w:r>
            <w:r w:rsidR="00BA29C1" w:rsidRPr="006816A9">
              <w:rPr>
                <w:sz w:val="18"/>
                <w:szCs w:val="18"/>
                <w:lang w:val="es-ES" w:eastAsia="zh-CN"/>
              </w:rPr>
              <w:t xml:space="preserve"> territorio </w:t>
            </w:r>
            <w:r w:rsidR="003E3813">
              <w:rPr>
                <w:sz w:val="18"/>
                <w:szCs w:val="18"/>
                <w:lang w:val="es-ES" w:eastAsia="zh-CN"/>
              </w:rPr>
              <w:t>sobre</w:t>
            </w:r>
            <w:r w:rsidR="000F0AFA">
              <w:rPr>
                <w:sz w:val="18"/>
                <w:szCs w:val="18"/>
                <w:lang w:val="es-ES" w:eastAsia="zh-CN"/>
              </w:rPr>
              <w:t xml:space="preserve"> lo realizado durante  el año escolar, en relación a lo planificado y a la vez para</w:t>
            </w:r>
            <w:r w:rsidR="003E3813">
              <w:rPr>
                <w:sz w:val="18"/>
                <w:szCs w:val="18"/>
                <w:lang w:val="es-ES" w:eastAsia="zh-CN"/>
              </w:rPr>
              <w:t xml:space="preserve"> analizar, discutir</w:t>
            </w:r>
            <w:r w:rsidR="00BB7BD9" w:rsidRPr="006816A9">
              <w:rPr>
                <w:sz w:val="18"/>
                <w:szCs w:val="18"/>
                <w:lang w:val="es-ES" w:eastAsia="zh-CN"/>
              </w:rPr>
              <w:t xml:space="preserve"> </w:t>
            </w:r>
            <w:r w:rsidR="006816A9">
              <w:rPr>
                <w:sz w:val="18"/>
                <w:szCs w:val="18"/>
                <w:lang w:val="es-ES" w:eastAsia="zh-CN"/>
              </w:rPr>
              <w:t>y</w:t>
            </w:r>
            <w:r w:rsidR="00BB7BD9" w:rsidRPr="006816A9">
              <w:rPr>
                <w:sz w:val="18"/>
                <w:szCs w:val="18"/>
                <w:lang w:val="es-ES" w:eastAsia="zh-CN"/>
              </w:rPr>
              <w:t xml:space="preserve"> pro</w:t>
            </w:r>
            <w:r w:rsidR="003E3813">
              <w:rPr>
                <w:sz w:val="18"/>
                <w:szCs w:val="18"/>
                <w:lang w:val="es-ES" w:eastAsia="zh-CN"/>
              </w:rPr>
              <w:t>poner</w:t>
            </w:r>
            <w:r w:rsidR="006816A9">
              <w:rPr>
                <w:sz w:val="18"/>
                <w:szCs w:val="18"/>
                <w:lang w:val="es-ES" w:eastAsia="zh-CN"/>
              </w:rPr>
              <w:t xml:space="preserve"> alternativas de solución</w:t>
            </w:r>
            <w:r w:rsidR="003E3813">
              <w:rPr>
                <w:sz w:val="18"/>
                <w:szCs w:val="18"/>
                <w:lang w:val="es-ES" w:eastAsia="zh-CN"/>
              </w:rPr>
              <w:t>, con el propósito de fortalecer la cultura de  transparencia en el Sistema Educativo del país.</w:t>
            </w:r>
          </w:p>
        </w:tc>
        <w:tc>
          <w:tcPr>
            <w:tcW w:w="5117" w:type="dxa"/>
          </w:tcPr>
          <w:p w:rsidR="00356811" w:rsidRPr="006816A9" w:rsidRDefault="006816A9" w:rsidP="00B42878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  <w:r w:rsidRPr="006816A9">
              <w:rPr>
                <w:b/>
                <w:sz w:val="18"/>
                <w:szCs w:val="18"/>
                <w:lang w:val="es-ES" w:eastAsia="zh-CN"/>
              </w:rPr>
              <w:t>¿QUIENES  PART</w:t>
            </w:r>
            <w:r>
              <w:rPr>
                <w:b/>
                <w:sz w:val="18"/>
                <w:szCs w:val="18"/>
                <w:lang w:val="es-ES" w:eastAsia="zh-CN"/>
              </w:rPr>
              <w:t>ICIPAN  EN  LA REALIZACIÓN DE</w:t>
            </w:r>
            <w:r w:rsidRPr="006816A9">
              <w:rPr>
                <w:b/>
                <w:sz w:val="18"/>
                <w:szCs w:val="18"/>
                <w:lang w:val="es-ES" w:eastAsia="zh-CN"/>
              </w:rPr>
              <w:t xml:space="preserve"> RENDICIÓN DE  CUENTAS</w:t>
            </w:r>
            <w:r w:rsidR="00EB0655">
              <w:rPr>
                <w:b/>
                <w:sz w:val="18"/>
                <w:szCs w:val="18"/>
                <w:lang w:val="es-ES" w:eastAsia="zh-CN"/>
              </w:rPr>
              <w:t xml:space="preserve"> </w:t>
            </w:r>
            <w:bookmarkStart w:id="0" w:name="_GoBack"/>
            <w:bookmarkEnd w:id="0"/>
          </w:p>
          <w:p w:rsidR="00B42878" w:rsidRPr="006816A9" w:rsidRDefault="00396B16" w:rsidP="00B42878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  <w:r w:rsidRPr="006816A9">
              <w:rPr>
                <w:sz w:val="18"/>
                <w:szCs w:val="18"/>
                <w:lang w:val="es-ES" w:eastAsia="zh-CN"/>
              </w:rPr>
              <w:t>La  comunidad  educativa y  representantes  de los  diferentes sectores  del territorio.</w:t>
            </w:r>
            <w:r w:rsidR="00EB0655">
              <w:rPr>
                <w:sz w:val="18"/>
                <w:szCs w:val="18"/>
                <w:lang w:val="es-ES" w:eastAsia="zh-CN"/>
              </w:rPr>
              <w:t xml:space="preserve"> No se requiere de requisitos previos para la participación.</w:t>
            </w:r>
          </w:p>
        </w:tc>
      </w:tr>
      <w:tr w:rsidR="006816A9" w:rsidTr="008D3F17">
        <w:tc>
          <w:tcPr>
            <w:tcW w:w="10207" w:type="dxa"/>
            <w:gridSpan w:val="2"/>
          </w:tcPr>
          <w:p w:rsidR="00FE3393" w:rsidRDefault="001C7EB2" w:rsidP="00FE3393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  <w:r w:rsidRPr="00E068A2">
              <w:rPr>
                <w:b/>
                <w:sz w:val="18"/>
                <w:szCs w:val="18"/>
                <w:lang w:val="es-ES" w:eastAsia="zh-CN"/>
              </w:rPr>
              <w:t xml:space="preserve">RENDICIÓN </w:t>
            </w:r>
            <w:r w:rsidR="00744EF3">
              <w:rPr>
                <w:b/>
                <w:sz w:val="18"/>
                <w:szCs w:val="18"/>
                <w:lang w:val="es-ES" w:eastAsia="zh-CN"/>
              </w:rPr>
              <w:t>DE CUE</w:t>
            </w:r>
            <w:r w:rsidR="004570F9">
              <w:rPr>
                <w:b/>
                <w:sz w:val="18"/>
                <w:szCs w:val="18"/>
                <w:lang w:val="es-ES" w:eastAsia="zh-CN"/>
              </w:rPr>
              <w:t>N</w:t>
            </w:r>
            <w:r w:rsidR="00744EF3">
              <w:rPr>
                <w:b/>
                <w:sz w:val="18"/>
                <w:szCs w:val="18"/>
                <w:lang w:val="es-ES" w:eastAsia="zh-CN"/>
              </w:rPr>
              <w:t xml:space="preserve">TAS </w:t>
            </w:r>
            <w:r w:rsidRPr="00E068A2">
              <w:rPr>
                <w:b/>
                <w:sz w:val="18"/>
                <w:szCs w:val="18"/>
                <w:lang w:val="es-ES" w:eastAsia="zh-CN"/>
              </w:rPr>
              <w:t>REALIZADAS</w:t>
            </w:r>
          </w:p>
          <w:p w:rsidR="001C7EB2" w:rsidRDefault="00744EF3" w:rsidP="00FE3393">
            <w:pPr>
              <w:pStyle w:val="Textoindependiente"/>
              <w:jc w:val="center"/>
              <w:rPr>
                <w:rFonts w:ascii="Calibri" w:hAnsi="Calibri" w:cs="Calibri"/>
                <w:color w:val="333333"/>
                <w:lang w:val="es"/>
              </w:rPr>
            </w:pPr>
            <w:r w:rsidRPr="00EB34D4">
              <w:rPr>
                <w:sz w:val="18"/>
                <w:szCs w:val="18"/>
                <w:lang w:val="es-ES" w:eastAsia="zh-CN"/>
              </w:rPr>
              <w:t xml:space="preserve">El  Ministerio de Educación ha realizado  </w:t>
            </w:r>
            <w:r w:rsidR="00EB34D4" w:rsidRPr="00EB34D4">
              <w:rPr>
                <w:sz w:val="18"/>
                <w:szCs w:val="18"/>
                <w:lang w:val="es-ES" w:eastAsia="zh-CN"/>
              </w:rPr>
              <w:t>desde el  año  2013 hasta  el año 2015 tres Rendición de  Cuentas</w:t>
            </w:r>
            <w:r w:rsidR="002B02AE">
              <w:rPr>
                <w:sz w:val="18"/>
                <w:szCs w:val="18"/>
                <w:lang w:val="es-ES" w:eastAsia="zh-CN"/>
              </w:rPr>
              <w:t xml:space="preserve"> a nivel institucional durante el  mes de  julio de cada  año,</w:t>
            </w:r>
            <w:r w:rsidR="00B75BB6">
              <w:rPr>
                <w:sz w:val="18"/>
                <w:szCs w:val="18"/>
                <w:lang w:val="es-ES" w:eastAsia="zh-CN"/>
              </w:rPr>
              <w:t xml:space="preserve"> </w:t>
            </w:r>
            <w:r w:rsidR="001E257A">
              <w:rPr>
                <w:sz w:val="18"/>
                <w:szCs w:val="18"/>
                <w:lang w:val="es-ES" w:eastAsia="zh-CN"/>
              </w:rPr>
              <w:t xml:space="preserve">a nivel de las </w:t>
            </w:r>
            <w:r w:rsidR="00A52FCD">
              <w:rPr>
                <w:sz w:val="18"/>
                <w:szCs w:val="18"/>
                <w:lang w:val="es-ES" w:eastAsia="zh-CN"/>
              </w:rPr>
              <w:t>14 Direcciones</w:t>
            </w:r>
            <w:r w:rsidR="001E257A">
              <w:rPr>
                <w:sz w:val="18"/>
                <w:szCs w:val="18"/>
                <w:lang w:val="es-ES" w:eastAsia="zh-CN"/>
              </w:rPr>
              <w:t xml:space="preserve"> Departamentales  de  Educación</w:t>
            </w:r>
            <w:r w:rsidR="00F43B93">
              <w:rPr>
                <w:sz w:val="18"/>
                <w:szCs w:val="18"/>
                <w:lang w:val="es-ES" w:eastAsia="zh-CN"/>
              </w:rPr>
              <w:t xml:space="preserve"> entre junio y  julio</w:t>
            </w:r>
            <w:r w:rsidR="00EB34D4">
              <w:rPr>
                <w:sz w:val="18"/>
                <w:szCs w:val="18"/>
                <w:lang w:val="es-ES" w:eastAsia="zh-CN"/>
              </w:rPr>
              <w:t xml:space="preserve"> y a nivel de </w:t>
            </w:r>
            <w:r w:rsidR="009B4A72">
              <w:rPr>
                <w:sz w:val="18"/>
                <w:szCs w:val="18"/>
                <w:lang w:val="es-ES" w:eastAsia="zh-CN"/>
              </w:rPr>
              <w:t>los</w:t>
            </w:r>
            <w:r w:rsidR="00EB34D4">
              <w:rPr>
                <w:sz w:val="18"/>
                <w:szCs w:val="18"/>
                <w:lang w:val="es-ES" w:eastAsia="zh-CN"/>
              </w:rPr>
              <w:t xml:space="preserve"> Centros  Educativos</w:t>
            </w:r>
            <w:r w:rsidR="00B75BB6">
              <w:rPr>
                <w:sz w:val="18"/>
                <w:szCs w:val="18"/>
                <w:lang w:val="es-ES" w:eastAsia="zh-CN"/>
              </w:rPr>
              <w:t xml:space="preserve"> en los</w:t>
            </w:r>
            <w:r w:rsidR="00A52FCD">
              <w:rPr>
                <w:sz w:val="18"/>
                <w:szCs w:val="18"/>
                <w:lang w:val="es-ES" w:eastAsia="zh-CN"/>
              </w:rPr>
              <w:t xml:space="preserve">  meses de octubre y  noviembre.</w:t>
            </w:r>
          </w:p>
        </w:tc>
      </w:tr>
      <w:tr w:rsidR="00B25E9E" w:rsidTr="008D3F17">
        <w:tc>
          <w:tcPr>
            <w:tcW w:w="10207" w:type="dxa"/>
            <w:gridSpan w:val="2"/>
          </w:tcPr>
          <w:p w:rsidR="002E485B" w:rsidRDefault="002E485B" w:rsidP="00FE3393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</w:p>
          <w:p w:rsidR="00B25E9E" w:rsidRDefault="00B25E9E" w:rsidP="00FE3393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  <w:r>
              <w:rPr>
                <w:b/>
                <w:sz w:val="18"/>
                <w:szCs w:val="18"/>
                <w:lang w:val="es-ES" w:eastAsia="zh-CN"/>
              </w:rPr>
              <w:t>RESULTADOS DE LAS RENDICIONES DE CUENTAS:</w:t>
            </w:r>
          </w:p>
          <w:p w:rsidR="00B25E9E" w:rsidRPr="00B25E9E" w:rsidRDefault="00B25E9E" w:rsidP="000A350B">
            <w:pPr>
              <w:pStyle w:val="Textoindependiente"/>
              <w:rPr>
                <w:sz w:val="18"/>
                <w:szCs w:val="18"/>
                <w:lang w:val="es-ES" w:eastAsia="zh-CN"/>
              </w:rPr>
            </w:pPr>
            <w:r w:rsidRPr="00E61774">
              <w:rPr>
                <w:sz w:val="18"/>
                <w:szCs w:val="18"/>
                <w:lang w:val="es-ES" w:eastAsia="zh-CN"/>
              </w:rPr>
              <w:t xml:space="preserve">Se logró </w:t>
            </w:r>
            <w:r w:rsidR="003422F5" w:rsidRPr="00E61774">
              <w:rPr>
                <w:sz w:val="18"/>
                <w:szCs w:val="18"/>
                <w:lang w:val="es-ES" w:eastAsia="zh-CN"/>
              </w:rPr>
              <w:t xml:space="preserve">que la </w:t>
            </w:r>
            <w:r w:rsidR="0047114F" w:rsidRPr="00E61774">
              <w:rPr>
                <w:sz w:val="18"/>
                <w:szCs w:val="18"/>
                <w:lang w:val="es-ES" w:eastAsia="zh-CN"/>
              </w:rPr>
              <w:t>comunidad</w:t>
            </w:r>
            <w:r w:rsidR="003422F5" w:rsidRPr="00E61774">
              <w:rPr>
                <w:sz w:val="18"/>
                <w:szCs w:val="18"/>
                <w:lang w:val="es-ES" w:eastAsia="zh-CN"/>
              </w:rPr>
              <w:t xml:space="preserve"> educativa y  los </w:t>
            </w:r>
            <w:r w:rsidRPr="00E61774">
              <w:rPr>
                <w:sz w:val="18"/>
                <w:szCs w:val="18"/>
                <w:lang w:val="es-ES" w:eastAsia="zh-CN"/>
              </w:rPr>
              <w:t>diferentes sectores relacionados con la Educación conocie</w:t>
            </w:r>
            <w:r w:rsidR="0047114F" w:rsidRPr="00E61774">
              <w:rPr>
                <w:sz w:val="18"/>
                <w:szCs w:val="18"/>
                <w:lang w:val="es-ES" w:eastAsia="zh-CN"/>
              </w:rPr>
              <w:t>ran</w:t>
            </w:r>
            <w:r w:rsidR="00C7476A" w:rsidRPr="00E61774">
              <w:rPr>
                <w:sz w:val="18"/>
                <w:szCs w:val="18"/>
                <w:lang w:val="es-ES" w:eastAsia="zh-CN"/>
              </w:rPr>
              <w:t xml:space="preserve"> los avances planteados en</w:t>
            </w:r>
            <w:r w:rsidRPr="00E61774">
              <w:rPr>
                <w:sz w:val="18"/>
                <w:szCs w:val="18"/>
                <w:lang w:val="es-ES" w:eastAsia="zh-CN"/>
              </w:rPr>
              <w:t xml:space="preserve"> los Programas Educativos que </w:t>
            </w:r>
            <w:r w:rsidR="005A0265" w:rsidRPr="00E61774">
              <w:rPr>
                <w:sz w:val="18"/>
                <w:szCs w:val="18"/>
                <w:lang w:val="es-ES" w:eastAsia="zh-CN"/>
              </w:rPr>
              <w:t xml:space="preserve">contribuyen </w:t>
            </w:r>
            <w:r w:rsidR="0047114F" w:rsidRPr="00E61774">
              <w:rPr>
                <w:sz w:val="18"/>
                <w:szCs w:val="18"/>
                <w:lang w:val="es-ES" w:eastAsia="zh-CN"/>
              </w:rPr>
              <w:t>a mejorar el  servicio educativo</w:t>
            </w:r>
            <w:r w:rsidR="00144311" w:rsidRPr="00E61774">
              <w:rPr>
                <w:sz w:val="18"/>
                <w:szCs w:val="18"/>
                <w:lang w:val="es-ES" w:eastAsia="zh-CN"/>
              </w:rPr>
              <w:t>, inclusivo</w:t>
            </w:r>
            <w:r w:rsidRPr="00E61774">
              <w:rPr>
                <w:sz w:val="18"/>
                <w:szCs w:val="18"/>
                <w:lang w:val="es-ES" w:eastAsia="zh-CN"/>
              </w:rPr>
              <w:t xml:space="preserve"> con igualdad de condiciones para todas y todos, además se informó sobre  la Inversión</w:t>
            </w:r>
            <w:r w:rsidR="00842B5E" w:rsidRPr="00E61774">
              <w:rPr>
                <w:sz w:val="18"/>
                <w:szCs w:val="18"/>
                <w:lang w:val="es-ES" w:eastAsia="zh-CN"/>
              </w:rPr>
              <w:t xml:space="preserve"> y beneficiarios </w:t>
            </w:r>
            <w:r w:rsidR="000A350B">
              <w:rPr>
                <w:sz w:val="18"/>
                <w:szCs w:val="18"/>
                <w:lang w:val="es-ES" w:eastAsia="zh-CN"/>
              </w:rPr>
              <w:t>de los diversos Programas Educativos</w:t>
            </w:r>
            <w:r w:rsidR="002E485B" w:rsidRPr="00E61774">
              <w:rPr>
                <w:sz w:val="18"/>
                <w:szCs w:val="18"/>
                <w:lang w:val="es-ES" w:eastAsia="zh-CN"/>
              </w:rPr>
              <w:t>.</w:t>
            </w:r>
            <w:r w:rsidR="00842B5E">
              <w:rPr>
                <w:sz w:val="18"/>
                <w:szCs w:val="18"/>
                <w:lang w:val="es-ES" w:eastAsia="zh-CN"/>
              </w:rPr>
              <w:t xml:space="preserve"> </w:t>
            </w:r>
          </w:p>
        </w:tc>
      </w:tr>
      <w:tr w:rsidR="00D2700F" w:rsidTr="00D2700F">
        <w:tc>
          <w:tcPr>
            <w:tcW w:w="10207" w:type="dxa"/>
            <w:gridSpan w:val="2"/>
            <w:shd w:val="clear" w:color="auto" w:fill="C6D9F1" w:themeFill="text2" w:themeFillTint="33"/>
          </w:tcPr>
          <w:p w:rsidR="00D2700F" w:rsidRPr="004570F9" w:rsidRDefault="001A353A" w:rsidP="00D2700F">
            <w:pPr>
              <w:pStyle w:val="Textoindependiente"/>
              <w:jc w:val="center"/>
              <w:rPr>
                <w:rFonts w:ascii="Calibri" w:hAnsi="Calibri" w:cs="Calibri"/>
                <w:b/>
                <w:color w:val="333333"/>
                <w:sz w:val="20"/>
                <w:szCs w:val="20"/>
                <w:lang w:val="es"/>
              </w:rPr>
            </w:pPr>
            <w:r w:rsidRPr="004570F9">
              <w:rPr>
                <w:rFonts w:ascii="Calibri" w:hAnsi="Calibri" w:cs="Calibri"/>
                <w:b/>
                <w:color w:val="333333"/>
                <w:sz w:val="20"/>
                <w:szCs w:val="20"/>
                <w:lang w:val="es"/>
              </w:rPr>
              <w:t>INCLU</w:t>
            </w:r>
            <w:r w:rsidR="00D2700F" w:rsidRPr="004570F9">
              <w:rPr>
                <w:rFonts w:ascii="Calibri" w:hAnsi="Calibri" w:cs="Calibri"/>
                <w:b/>
                <w:color w:val="333333"/>
                <w:sz w:val="20"/>
                <w:szCs w:val="20"/>
                <w:lang w:val="es"/>
              </w:rPr>
              <w:t>SIÓN DE  LA  EDUCACIÓN FISCAL EN LOS  PROGRAMAS DE ESTUDIO</w:t>
            </w:r>
          </w:p>
        </w:tc>
      </w:tr>
      <w:tr w:rsidR="006816A9" w:rsidTr="003A0118">
        <w:tc>
          <w:tcPr>
            <w:tcW w:w="5090" w:type="dxa"/>
          </w:tcPr>
          <w:p w:rsidR="00802806" w:rsidRPr="003E7920" w:rsidRDefault="00802806" w:rsidP="00802806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  <w:r w:rsidRPr="003E7920">
              <w:rPr>
                <w:b/>
                <w:sz w:val="18"/>
                <w:szCs w:val="18"/>
                <w:lang w:val="es-ES" w:eastAsia="zh-CN"/>
              </w:rPr>
              <w:t>OBJETIVO</w:t>
            </w:r>
          </w:p>
          <w:p w:rsidR="006816A9" w:rsidRPr="003E7920" w:rsidRDefault="003E7920" w:rsidP="00802806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  <w:r>
              <w:rPr>
                <w:sz w:val="18"/>
                <w:szCs w:val="18"/>
                <w:lang w:val="es-ES" w:eastAsia="zh-CN"/>
              </w:rPr>
              <w:t>Impu</w:t>
            </w:r>
            <w:r w:rsidR="007C13C2">
              <w:rPr>
                <w:sz w:val="18"/>
                <w:szCs w:val="18"/>
                <w:lang w:val="es-ES" w:eastAsia="zh-CN"/>
              </w:rPr>
              <w:t>lsar la Educación Fiscal en la materia de Estudios</w:t>
            </w:r>
            <w:r>
              <w:rPr>
                <w:sz w:val="18"/>
                <w:szCs w:val="18"/>
                <w:lang w:val="es-ES" w:eastAsia="zh-CN"/>
              </w:rPr>
              <w:t xml:space="preserve"> Sociales desde Educación Básica hast</w:t>
            </w:r>
            <w:r w:rsidR="007C13C2">
              <w:rPr>
                <w:sz w:val="18"/>
                <w:szCs w:val="18"/>
                <w:lang w:val="es-ES" w:eastAsia="zh-CN"/>
              </w:rPr>
              <w:t xml:space="preserve">a Educación Media </w:t>
            </w:r>
            <w:r w:rsidR="00333589">
              <w:rPr>
                <w:sz w:val="18"/>
                <w:szCs w:val="18"/>
                <w:lang w:val="es-ES" w:eastAsia="zh-CN"/>
              </w:rPr>
              <w:t>para contribuir  en la formación de ciudadanos honestos, responsables y  transparentes.</w:t>
            </w:r>
          </w:p>
        </w:tc>
        <w:tc>
          <w:tcPr>
            <w:tcW w:w="5117" w:type="dxa"/>
          </w:tcPr>
          <w:p w:rsidR="006816A9" w:rsidRDefault="00802806" w:rsidP="00802806">
            <w:pPr>
              <w:pStyle w:val="Textoindependiente"/>
              <w:jc w:val="center"/>
              <w:rPr>
                <w:rFonts w:ascii="Calibri" w:hAnsi="Calibri" w:cs="Calibri"/>
                <w:b/>
                <w:color w:val="333333"/>
                <w:sz w:val="18"/>
                <w:szCs w:val="18"/>
                <w:lang w:val="es"/>
              </w:rPr>
            </w:pPr>
            <w:r w:rsidRPr="003E7920">
              <w:rPr>
                <w:rFonts w:ascii="Calibri" w:hAnsi="Calibri" w:cs="Calibri"/>
                <w:b/>
                <w:color w:val="333333"/>
                <w:sz w:val="18"/>
                <w:szCs w:val="18"/>
                <w:lang w:val="es"/>
              </w:rPr>
              <w:t>ESTRATEGIAS  DE  INCLUSIÓN DE LA EDUCACIÓN FISCAL</w:t>
            </w:r>
          </w:p>
          <w:p w:rsidR="007C13C2" w:rsidRPr="005A202B" w:rsidRDefault="007C13C2" w:rsidP="00076CB3">
            <w:pPr>
              <w:pStyle w:val="Textoindependiente"/>
              <w:jc w:val="both"/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</w:pPr>
            <w:r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Se partió de la  necesidad  de que los ciudadanos se  informen y comprendan la responsabilidad del Estado, la obligación de  proteger los derechos </w:t>
            </w:r>
            <w:r w:rsidR="006A5CBD"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>de todos y</w:t>
            </w:r>
            <w:r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todas. </w:t>
            </w:r>
            <w:r w:rsidR="00D73E59"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>Además de comprender</w:t>
            </w:r>
            <w:r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la necesidad </w:t>
            </w:r>
            <w:r w:rsidR="00483C80"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>de cumplir las obligaciones</w:t>
            </w:r>
            <w:r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tributarias, sabiendo </w:t>
            </w:r>
            <w:r w:rsidR="006A5CBD"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>la importancia de</w:t>
            </w:r>
            <w:r w:rsidR="00483C80"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su aportación </w:t>
            </w:r>
            <w:r w:rsidR="006A5CBD"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>y que esta será conforme a su</w:t>
            </w:r>
            <w:r w:rsidR="00483C80"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capacidad </w:t>
            </w:r>
            <w:r w:rsidR="00076CB3"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>contributiva; así como también</w:t>
            </w:r>
            <w:r w:rsidR="00D73E59"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la relevancia de la participación ciudadana en el control del gasto público y de su</w:t>
            </w:r>
            <w:r w:rsidR="00EA7F5C"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t xml:space="preserve"> propia responsabilidad en  el fortalecimiento de la sociedad </w:t>
            </w:r>
            <w:r w:rsidR="00EA7F5C" w:rsidRPr="005A202B"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  <w:lastRenderedPageBreak/>
              <w:t>democrática.</w:t>
            </w:r>
          </w:p>
        </w:tc>
      </w:tr>
      <w:tr w:rsidR="006816A9" w:rsidTr="003A0118">
        <w:tc>
          <w:tcPr>
            <w:tcW w:w="5090" w:type="dxa"/>
          </w:tcPr>
          <w:p w:rsidR="002E485B" w:rsidRDefault="002E485B" w:rsidP="00B050A1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</w:p>
          <w:p w:rsidR="006816A9" w:rsidRDefault="00754443" w:rsidP="00B050A1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  <w:r w:rsidRPr="00754443">
              <w:rPr>
                <w:b/>
                <w:sz w:val="18"/>
                <w:szCs w:val="18"/>
                <w:lang w:val="es-ES" w:eastAsia="zh-CN"/>
              </w:rPr>
              <w:t>TEMA</w:t>
            </w:r>
            <w:r>
              <w:rPr>
                <w:b/>
                <w:sz w:val="18"/>
                <w:szCs w:val="18"/>
                <w:lang w:val="es-ES" w:eastAsia="zh-CN"/>
              </w:rPr>
              <w:t>S  INCORPORADOS Y DESARROLLADOS</w:t>
            </w:r>
            <w:r w:rsidR="001A353A">
              <w:rPr>
                <w:b/>
                <w:sz w:val="18"/>
                <w:szCs w:val="18"/>
                <w:lang w:val="es-ES" w:eastAsia="zh-CN"/>
              </w:rPr>
              <w:t xml:space="preserve"> </w:t>
            </w:r>
            <w:r w:rsidR="00B050A1">
              <w:rPr>
                <w:b/>
                <w:sz w:val="18"/>
                <w:szCs w:val="18"/>
                <w:lang w:val="es-ES" w:eastAsia="zh-CN"/>
              </w:rPr>
              <w:t xml:space="preserve"> </w:t>
            </w:r>
          </w:p>
          <w:p w:rsidR="00662613" w:rsidRPr="00EB7205" w:rsidRDefault="003D76A1" w:rsidP="000A5478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  <w:r>
              <w:rPr>
                <w:sz w:val="18"/>
                <w:szCs w:val="18"/>
                <w:lang w:val="es-ES" w:eastAsia="zh-CN"/>
              </w:rPr>
              <w:t>El Ministeri</w:t>
            </w:r>
            <w:r w:rsidR="00417B8C">
              <w:rPr>
                <w:sz w:val="18"/>
                <w:szCs w:val="18"/>
                <w:lang w:val="es-ES" w:eastAsia="zh-CN"/>
              </w:rPr>
              <w:t>o de Educación ha trabajado la Educación F</w:t>
            </w:r>
            <w:r>
              <w:rPr>
                <w:sz w:val="18"/>
                <w:szCs w:val="18"/>
                <w:lang w:val="es-ES" w:eastAsia="zh-CN"/>
              </w:rPr>
              <w:t>iscal en  los  programas de estudio con el propósito de promover la participación ciudadana c</w:t>
            </w:r>
            <w:r w:rsidR="001E07F2">
              <w:rPr>
                <w:sz w:val="18"/>
                <w:szCs w:val="18"/>
                <w:lang w:val="es-ES" w:eastAsia="zh-CN"/>
              </w:rPr>
              <w:t>on la</w:t>
            </w:r>
            <w:r>
              <w:rPr>
                <w:sz w:val="18"/>
                <w:szCs w:val="18"/>
                <w:lang w:val="es-ES" w:eastAsia="zh-CN"/>
              </w:rPr>
              <w:t xml:space="preserve"> temáticas que se detalla a  continuación: </w:t>
            </w:r>
            <w:r w:rsidR="00F400C7">
              <w:rPr>
                <w:sz w:val="18"/>
                <w:szCs w:val="18"/>
                <w:lang w:val="es-ES" w:eastAsia="zh-CN"/>
              </w:rPr>
              <w:t>“</w:t>
            </w:r>
            <w:r w:rsidR="00EB7205" w:rsidRPr="00EB7205">
              <w:rPr>
                <w:sz w:val="18"/>
                <w:szCs w:val="18"/>
                <w:lang w:val="es-ES" w:eastAsia="zh-CN"/>
              </w:rPr>
              <w:t>Los adultos trabajan</w:t>
            </w:r>
            <w:r w:rsidR="00F400C7">
              <w:rPr>
                <w:sz w:val="18"/>
                <w:szCs w:val="18"/>
                <w:lang w:val="es-ES" w:eastAsia="zh-CN"/>
              </w:rPr>
              <w:t>”(</w:t>
            </w:r>
            <w:r w:rsidR="00EB7205" w:rsidRPr="00EB7205">
              <w:rPr>
                <w:sz w:val="18"/>
                <w:szCs w:val="18"/>
                <w:lang w:val="es-ES" w:eastAsia="zh-CN"/>
              </w:rPr>
              <w:t>nociones sobre el Impuesto sobre la Renta)</w:t>
            </w:r>
            <w:r w:rsidR="00F400C7">
              <w:rPr>
                <w:sz w:val="18"/>
                <w:szCs w:val="18"/>
                <w:lang w:val="es-ES" w:eastAsia="zh-CN"/>
              </w:rPr>
              <w:t>“</w:t>
            </w:r>
            <w:r w:rsidR="00662613">
              <w:rPr>
                <w:sz w:val="18"/>
                <w:szCs w:val="18"/>
                <w:lang w:val="es-ES" w:eastAsia="zh-CN"/>
              </w:rPr>
              <w:t>El presupuesto familiar y del Estado</w:t>
            </w:r>
            <w:r w:rsidR="003970F9">
              <w:rPr>
                <w:sz w:val="18"/>
                <w:szCs w:val="18"/>
                <w:lang w:val="es-ES" w:eastAsia="zh-CN"/>
              </w:rPr>
              <w:t>”; “</w:t>
            </w:r>
            <w:r w:rsidR="00662613">
              <w:rPr>
                <w:sz w:val="18"/>
                <w:szCs w:val="18"/>
                <w:lang w:val="es-ES" w:eastAsia="zh-CN"/>
              </w:rPr>
              <w:t>Financiamiento</w:t>
            </w:r>
            <w:r w:rsidR="003970F9">
              <w:rPr>
                <w:sz w:val="18"/>
                <w:szCs w:val="18"/>
                <w:lang w:val="es-ES" w:eastAsia="zh-CN"/>
              </w:rPr>
              <w:t xml:space="preserve"> y cuidado de lugares públicos”; “Sistemas de producción”; “P</w:t>
            </w:r>
            <w:r w:rsidR="000A5478">
              <w:rPr>
                <w:sz w:val="18"/>
                <w:szCs w:val="18"/>
                <w:lang w:val="es-ES" w:eastAsia="zh-CN"/>
              </w:rPr>
              <w:t>rocesos de</w:t>
            </w:r>
            <w:r w:rsidR="003970F9">
              <w:rPr>
                <w:sz w:val="18"/>
                <w:szCs w:val="18"/>
                <w:lang w:val="es-ES" w:eastAsia="zh-CN"/>
              </w:rPr>
              <w:t xml:space="preserve"> Producción”; “</w:t>
            </w:r>
            <w:r w:rsidR="000A5478">
              <w:rPr>
                <w:sz w:val="18"/>
                <w:szCs w:val="18"/>
                <w:lang w:val="es-ES" w:eastAsia="zh-CN"/>
              </w:rPr>
              <w:t>Sistema de</w:t>
            </w:r>
            <w:r w:rsidR="003970F9">
              <w:rPr>
                <w:sz w:val="18"/>
                <w:szCs w:val="18"/>
                <w:lang w:val="es-ES" w:eastAsia="zh-CN"/>
              </w:rPr>
              <w:t xml:space="preserve"> Importaciones y Exportaciones”</w:t>
            </w:r>
            <w:r w:rsidR="000A5478">
              <w:rPr>
                <w:sz w:val="18"/>
                <w:szCs w:val="18"/>
                <w:lang w:val="es-ES" w:eastAsia="zh-CN"/>
              </w:rPr>
              <w:t xml:space="preserve">; </w:t>
            </w:r>
            <w:r w:rsidR="003970F9">
              <w:rPr>
                <w:sz w:val="18"/>
                <w:szCs w:val="18"/>
                <w:lang w:val="es-ES" w:eastAsia="zh-CN"/>
              </w:rPr>
              <w:t>“Ética Gubernamental”; “Cultura de la Tributación”; “</w:t>
            </w:r>
            <w:r w:rsidR="000A5478">
              <w:rPr>
                <w:sz w:val="18"/>
                <w:szCs w:val="18"/>
                <w:lang w:val="es-ES" w:eastAsia="zh-CN"/>
              </w:rPr>
              <w:t>Comprobantes de</w:t>
            </w:r>
            <w:r w:rsidR="003970F9">
              <w:rPr>
                <w:sz w:val="18"/>
                <w:szCs w:val="18"/>
                <w:lang w:val="es-ES" w:eastAsia="zh-CN"/>
              </w:rPr>
              <w:t xml:space="preserve"> pago”; “</w:t>
            </w:r>
            <w:r w:rsidR="000A5478">
              <w:rPr>
                <w:sz w:val="18"/>
                <w:szCs w:val="18"/>
                <w:lang w:val="es-ES" w:eastAsia="zh-CN"/>
              </w:rPr>
              <w:t>La</w:t>
            </w:r>
            <w:r w:rsidR="003970F9">
              <w:rPr>
                <w:sz w:val="18"/>
                <w:szCs w:val="18"/>
                <w:lang w:val="es-ES" w:eastAsia="zh-CN"/>
              </w:rPr>
              <w:t xml:space="preserve"> corrupción”; “Ciudadanía y participación”;  “</w:t>
            </w:r>
            <w:r w:rsidR="000A5478">
              <w:rPr>
                <w:sz w:val="18"/>
                <w:szCs w:val="18"/>
                <w:lang w:val="es-ES" w:eastAsia="zh-CN"/>
              </w:rPr>
              <w:t>Rendición de</w:t>
            </w:r>
            <w:r w:rsidR="003970F9">
              <w:rPr>
                <w:sz w:val="18"/>
                <w:szCs w:val="18"/>
                <w:lang w:val="es-ES" w:eastAsia="zh-CN"/>
              </w:rPr>
              <w:t xml:space="preserve"> Cuentas” y “Métodos de  participación ciudadana”.</w:t>
            </w:r>
          </w:p>
        </w:tc>
        <w:tc>
          <w:tcPr>
            <w:tcW w:w="5117" w:type="dxa"/>
          </w:tcPr>
          <w:p w:rsidR="002E485B" w:rsidRDefault="002E485B" w:rsidP="00802806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</w:p>
          <w:p w:rsidR="006816A9" w:rsidRDefault="00802806" w:rsidP="00802806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  <w:r w:rsidRPr="003E7920">
              <w:rPr>
                <w:b/>
                <w:sz w:val="18"/>
                <w:szCs w:val="18"/>
                <w:lang w:val="es-ES" w:eastAsia="zh-CN"/>
              </w:rPr>
              <w:t>¿QUIENES  PARTICIPAN?</w:t>
            </w:r>
          </w:p>
          <w:p w:rsidR="00A47DE6" w:rsidRPr="00A47DE6" w:rsidRDefault="00A47DE6" w:rsidP="00A47DE6">
            <w:pPr>
              <w:pStyle w:val="Textoindependiente"/>
              <w:jc w:val="both"/>
              <w:rPr>
                <w:rFonts w:ascii="Calibri" w:hAnsi="Calibri" w:cs="Calibri"/>
                <w:color w:val="333333"/>
                <w:sz w:val="18"/>
                <w:szCs w:val="18"/>
                <w:lang w:val="es"/>
              </w:rPr>
            </w:pPr>
            <w:r>
              <w:rPr>
                <w:sz w:val="18"/>
                <w:szCs w:val="18"/>
                <w:lang w:val="es-ES" w:eastAsia="zh-CN"/>
              </w:rPr>
              <w:t>Participan directamente l</w:t>
            </w:r>
            <w:r w:rsidRPr="00A47DE6">
              <w:rPr>
                <w:sz w:val="18"/>
                <w:szCs w:val="18"/>
                <w:lang w:val="es-ES" w:eastAsia="zh-CN"/>
              </w:rPr>
              <w:t>os  niños y  niñas  desde</w:t>
            </w:r>
            <w:r w:rsidR="00BA0A57">
              <w:rPr>
                <w:sz w:val="18"/>
                <w:szCs w:val="18"/>
                <w:lang w:val="es-ES" w:eastAsia="zh-CN"/>
              </w:rPr>
              <w:t xml:space="preserve"> los </w:t>
            </w:r>
            <w:r w:rsidRPr="00A47DE6">
              <w:rPr>
                <w:sz w:val="18"/>
                <w:szCs w:val="18"/>
                <w:lang w:val="es-ES" w:eastAsia="zh-CN"/>
              </w:rPr>
              <w:t xml:space="preserve"> primer</w:t>
            </w:r>
            <w:r w:rsidR="00BA0A57">
              <w:rPr>
                <w:sz w:val="18"/>
                <w:szCs w:val="18"/>
                <w:lang w:val="es-ES" w:eastAsia="zh-CN"/>
              </w:rPr>
              <w:t>os</w:t>
            </w:r>
            <w:r w:rsidRPr="00A47DE6">
              <w:rPr>
                <w:sz w:val="18"/>
                <w:szCs w:val="18"/>
                <w:lang w:val="es-ES" w:eastAsia="zh-CN"/>
              </w:rPr>
              <w:t xml:space="preserve"> grado</w:t>
            </w:r>
            <w:r w:rsidR="00BA0A57">
              <w:rPr>
                <w:sz w:val="18"/>
                <w:szCs w:val="18"/>
                <w:lang w:val="es-ES" w:eastAsia="zh-CN"/>
              </w:rPr>
              <w:t>s</w:t>
            </w:r>
            <w:r>
              <w:rPr>
                <w:sz w:val="18"/>
                <w:szCs w:val="18"/>
                <w:lang w:val="es-ES" w:eastAsia="zh-CN"/>
              </w:rPr>
              <w:t xml:space="preserve"> de  Educación Básica</w:t>
            </w:r>
            <w:r w:rsidRPr="00A47DE6">
              <w:rPr>
                <w:sz w:val="18"/>
                <w:szCs w:val="18"/>
                <w:lang w:val="es-ES" w:eastAsia="zh-CN"/>
              </w:rPr>
              <w:t xml:space="preserve"> hasta </w:t>
            </w:r>
            <w:r>
              <w:rPr>
                <w:sz w:val="18"/>
                <w:szCs w:val="18"/>
                <w:lang w:val="es-ES" w:eastAsia="zh-CN"/>
              </w:rPr>
              <w:t>los jóvenes de Educación M</w:t>
            </w:r>
            <w:r w:rsidRPr="00A47DE6">
              <w:rPr>
                <w:sz w:val="18"/>
                <w:szCs w:val="18"/>
                <w:lang w:val="es-ES" w:eastAsia="zh-CN"/>
              </w:rPr>
              <w:t xml:space="preserve">edia del </w:t>
            </w:r>
            <w:r>
              <w:rPr>
                <w:sz w:val="18"/>
                <w:szCs w:val="18"/>
                <w:lang w:val="es-ES" w:eastAsia="zh-CN"/>
              </w:rPr>
              <w:t>S</w:t>
            </w:r>
            <w:r w:rsidR="00BA0A57">
              <w:rPr>
                <w:sz w:val="18"/>
                <w:szCs w:val="18"/>
                <w:lang w:val="es-ES" w:eastAsia="zh-CN"/>
              </w:rPr>
              <w:t>istema Educativo y</w:t>
            </w:r>
            <w:r>
              <w:rPr>
                <w:sz w:val="18"/>
                <w:szCs w:val="18"/>
                <w:lang w:val="es-ES" w:eastAsia="zh-CN"/>
              </w:rPr>
              <w:t xml:space="preserve"> </w:t>
            </w:r>
            <w:r w:rsidR="00846E9E">
              <w:rPr>
                <w:sz w:val="18"/>
                <w:szCs w:val="18"/>
                <w:lang w:val="es-ES" w:eastAsia="zh-CN"/>
              </w:rPr>
              <w:t xml:space="preserve">los docentes </w:t>
            </w:r>
            <w:r w:rsidR="00BA0A57">
              <w:rPr>
                <w:sz w:val="18"/>
                <w:szCs w:val="18"/>
                <w:lang w:val="es-ES" w:eastAsia="zh-CN"/>
              </w:rPr>
              <w:t>responsables de impartir</w:t>
            </w:r>
            <w:r>
              <w:rPr>
                <w:sz w:val="18"/>
                <w:szCs w:val="18"/>
                <w:lang w:val="es-ES" w:eastAsia="zh-CN"/>
              </w:rPr>
              <w:t xml:space="preserve"> </w:t>
            </w:r>
            <w:r w:rsidR="00846E9E">
              <w:rPr>
                <w:sz w:val="18"/>
                <w:szCs w:val="18"/>
                <w:lang w:val="es-ES" w:eastAsia="zh-CN"/>
              </w:rPr>
              <w:t>la</w:t>
            </w:r>
            <w:r>
              <w:rPr>
                <w:sz w:val="18"/>
                <w:szCs w:val="18"/>
                <w:lang w:val="es-ES" w:eastAsia="zh-CN"/>
              </w:rPr>
              <w:t xml:space="preserve"> mat</w:t>
            </w:r>
            <w:r w:rsidR="00BA0A57">
              <w:rPr>
                <w:sz w:val="18"/>
                <w:szCs w:val="18"/>
                <w:lang w:val="es-ES" w:eastAsia="zh-CN"/>
              </w:rPr>
              <w:t>eria  de Estudios  Sociales en los Centros  Educativos.</w:t>
            </w:r>
          </w:p>
        </w:tc>
      </w:tr>
      <w:tr w:rsidR="002E485B" w:rsidTr="00D92485">
        <w:tc>
          <w:tcPr>
            <w:tcW w:w="10207" w:type="dxa"/>
            <w:gridSpan w:val="2"/>
          </w:tcPr>
          <w:p w:rsidR="002E485B" w:rsidRDefault="002E485B" w:rsidP="00B050A1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  <w:r>
              <w:rPr>
                <w:b/>
                <w:sz w:val="18"/>
                <w:szCs w:val="18"/>
                <w:lang w:val="es-ES" w:eastAsia="zh-CN"/>
              </w:rPr>
              <w:t>RESULTADOS:</w:t>
            </w:r>
          </w:p>
          <w:p w:rsidR="002E485B" w:rsidRPr="003E7920" w:rsidRDefault="002E485B" w:rsidP="002E485B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  <w:r w:rsidRPr="00D66649">
              <w:rPr>
                <w:sz w:val="18"/>
                <w:szCs w:val="18"/>
                <w:lang w:val="es-ES" w:eastAsia="zh-CN"/>
              </w:rPr>
              <w:t>Empoderar al estudiantado y personal docente  de Educación</w:t>
            </w:r>
            <w:r>
              <w:rPr>
                <w:sz w:val="18"/>
                <w:szCs w:val="18"/>
                <w:lang w:val="es-ES" w:eastAsia="zh-CN"/>
              </w:rPr>
              <w:t xml:space="preserve"> </w:t>
            </w:r>
            <w:r w:rsidRPr="00E61774">
              <w:rPr>
                <w:sz w:val="18"/>
                <w:szCs w:val="18"/>
                <w:lang w:val="es-ES" w:eastAsia="zh-CN"/>
              </w:rPr>
              <w:t>Básica</w:t>
            </w:r>
            <w:r>
              <w:rPr>
                <w:sz w:val="18"/>
                <w:szCs w:val="18"/>
                <w:lang w:val="es-ES" w:eastAsia="zh-CN"/>
              </w:rPr>
              <w:t xml:space="preserve"> y </w:t>
            </w:r>
            <w:r w:rsidRPr="00D66649">
              <w:rPr>
                <w:sz w:val="18"/>
                <w:szCs w:val="18"/>
                <w:lang w:val="es-ES" w:eastAsia="zh-CN"/>
              </w:rPr>
              <w:t xml:space="preserve">Media </w:t>
            </w:r>
            <w:r>
              <w:rPr>
                <w:sz w:val="18"/>
                <w:szCs w:val="18"/>
                <w:lang w:val="es-ES" w:eastAsia="zh-CN"/>
              </w:rPr>
              <w:t>sobre los elementos de</w:t>
            </w:r>
            <w:r w:rsidRPr="00D66649">
              <w:rPr>
                <w:sz w:val="18"/>
                <w:szCs w:val="18"/>
                <w:lang w:val="es-ES" w:eastAsia="zh-CN"/>
              </w:rPr>
              <w:t xml:space="preserve"> la Educación Fiscal que les permita contar con información y</w:t>
            </w:r>
            <w:r w:rsidR="0056246B">
              <w:rPr>
                <w:sz w:val="18"/>
                <w:szCs w:val="18"/>
                <w:lang w:val="es-ES" w:eastAsia="zh-CN"/>
              </w:rPr>
              <w:t xml:space="preserve"> formación  básica para la vida.</w:t>
            </w:r>
            <w:r w:rsidRPr="00D66649">
              <w:rPr>
                <w:sz w:val="18"/>
                <w:szCs w:val="18"/>
                <w:lang w:val="es-ES" w:eastAsia="zh-CN"/>
              </w:rPr>
              <w:t xml:space="preserve"> </w:t>
            </w:r>
          </w:p>
        </w:tc>
      </w:tr>
      <w:tr w:rsidR="00A82CE0" w:rsidTr="00D97EC0">
        <w:trPr>
          <w:trHeight w:val="264"/>
        </w:trPr>
        <w:tc>
          <w:tcPr>
            <w:tcW w:w="10207" w:type="dxa"/>
            <w:gridSpan w:val="2"/>
            <w:shd w:val="clear" w:color="auto" w:fill="C6D9F1" w:themeFill="text2" w:themeFillTint="33"/>
          </w:tcPr>
          <w:p w:rsidR="00D97EC0" w:rsidRDefault="00D97EC0" w:rsidP="00FF1BA8">
            <w:pPr>
              <w:jc w:val="center"/>
              <w:rPr>
                <w:b/>
                <w:sz w:val="18"/>
                <w:szCs w:val="18"/>
                <w:lang w:val="es-ES" w:eastAsia="zh-CN"/>
              </w:rPr>
            </w:pPr>
          </w:p>
          <w:p w:rsidR="00A82CE0" w:rsidRPr="004570F9" w:rsidRDefault="00123323" w:rsidP="00D97EC0">
            <w:pPr>
              <w:jc w:val="center"/>
              <w:rPr>
                <w:sz w:val="20"/>
                <w:szCs w:val="20"/>
                <w:lang w:val="es-ES" w:eastAsia="zh-CN"/>
              </w:rPr>
            </w:pPr>
            <w:r w:rsidRPr="004570F9">
              <w:rPr>
                <w:b/>
                <w:sz w:val="20"/>
                <w:szCs w:val="20"/>
                <w:lang w:val="es-ES" w:eastAsia="zh-CN"/>
              </w:rPr>
              <w:t>CONSEJO DE  EDUCACIÓN SUPERIOR</w:t>
            </w:r>
          </w:p>
        </w:tc>
      </w:tr>
      <w:tr w:rsidR="00A82CE0" w:rsidTr="00ED56EE">
        <w:tc>
          <w:tcPr>
            <w:tcW w:w="5090" w:type="dxa"/>
          </w:tcPr>
          <w:p w:rsidR="00A82CE0" w:rsidRPr="006816A9" w:rsidRDefault="00A82CE0" w:rsidP="00ED56EE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  <w:r w:rsidRPr="006816A9">
              <w:rPr>
                <w:b/>
                <w:sz w:val="18"/>
                <w:szCs w:val="18"/>
                <w:lang w:val="es-ES" w:eastAsia="zh-CN"/>
              </w:rPr>
              <w:t>OBJETIVO</w:t>
            </w:r>
          </w:p>
          <w:p w:rsidR="00A82CE0" w:rsidRPr="006816A9" w:rsidRDefault="0059293B" w:rsidP="00ED56EE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  <w:r w:rsidRPr="0059293B">
              <w:rPr>
                <w:sz w:val="18"/>
                <w:szCs w:val="18"/>
                <w:lang w:val="es-ES" w:eastAsia="zh-CN"/>
              </w:rPr>
              <w:t>Proponer  políticas  de  mejoramiento  de  la  educación  s</w:t>
            </w:r>
            <w:r>
              <w:rPr>
                <w:sz w:val="18"/>
                <w:szCs w:val="18"/>
                <w:lang w:val="es-ES" w:eastAsia="zh-CN"/>
              </w:rPr>
              <w:t>uperior  ante  el  Ministerio</w:t>
            </w:r>
            <w:r w:rsidR="00A07EE5" w:rsidRPr="00A07EE5">
              <w:rPr>
                <w:sz w:val="18"/>
                <w:szCs w:val="18"/>
                <w:lang w:val="es-ES" w:eastAsia="zh-CN"/>
              </w:rPr>
              <w:t xml:space="preserve">.       </w:t>
            </w:r>
          </w:p>
        </w:tc>
        <w:tc>
          <w:tcPr>
            <w:tcW w:w="5117" w:type="dxa"/>
          </w:tcPr>
          <w:p w:rsidR="00A82CE0" w:rsidRPr="006816A9" w:rsidRDefault="00756F77" w:rsidP="00ED56EE">
            <w:pPr>
              <w:pStyle w:val="Textoindependiente"/>
              <w:jc w:val="center"/>
              <w:rPr>
                <w:rFonts w:ascii="Calibri" w:hAnsi="Calibri" w:cs="Calibri"/>
                <w:b/>
                <w:color w:val="333333"/>
                <w:sz w:val="18"/>
                <w:szCs w:val="18"/>
                <w:lang w:val="es"/>
              </w:rPr>
            </w:pPr>
            <w:r>
              <w:rPr>
                <w:rFonts w:ascii="Calibri" w:hAnsi="Calibri" w:cs="Calibri"/>
                <w:b/>
                <w:color w:val="333333"/>
                <w:sz w:val="18"/>
                <w:szCs w:val="18"/>
                <w:lang w:val="es"/>
              </w:rPr>
              <w:t>ESTRATEGIA  DE CONSULTA</w:t>
            </w:r>
          </w:p>
          <w:p w:rsidR="00FF1BA8" w:rsidRPr="00756F77" w:rsidRDefault="00FF1BA8" w:rsidP="00FF1BA8">
            <w:pPr>
              <w:jc w:val="both"/>
              <w:rPr>
                <w:sz w:val="18"/>
                <w:szCs w:val="18"/>
                <w:lang w:val="es-ES" w:eastAsia="zh-CN"/>
              </w:rPr>
            </w:pPr>
            <w:r w:rsidRPr="00756F77">
              <w:rPr>
                <w:sz w:val="18"/>
                <w:szCs w:val="18"/>
                <w:lang w:val="es-ES" w:eastAsia="zh-CN"/>
              </w:rPr>
              <w:t>E</w:t>
            </w:r>
            <w:r w:rsidR="00756F77">
              <w:rPr>
                <w:sz w:val="18"/>
                <w:szCs w:val="18"/>
                <w:lang w:val="es-ES" w:eastAsia="zh-CN"/>
              </w:rPr>
              <w:t>l</w:t>
            </w:r>
            <w:r w:rsidRPr="00756F77">
              <w:rPr>
                <w:sz w:val="18"/>
                <w:szCs w:val="18"/>
                <w:lang w:val="es-ES" w:eastAsia="zh-CN"/>
              </w:rPr>
              <w:t xml:space="preserve"> Consejo</w:t>
            </w:r>
            <w:r w:rsidR="00756F77">
              <w:rPr>
                <w:sz w:val="18"/>
                <w:szCs w:val="18"/>
                <w:lang w:val="es-ES" w:eastAsia="zh-CN"/>
              </w:rPr>
              <w:t xml:space="preserve"> de Educación Superior es un organismo</w:t>
            </w:r>
            <w:r w:rsidRPr="00756F77">
              <w:rPr>
                <w:sz w:val="18"/>
                <w:szCs w:val="18"/>
                <w:lang w:val="es-ES" w:eastAsia="zh-CN"/>
              </w:rPr>
              <w:t xml:space="preserve"> consultivo y propositivo del Ministerio de Educación, para el mantenimiento y desarrollo de la calidad de la educación superior.</w:t>
            </w:r>
          </w:p>
          <w:p w:rsidR="00A82CE0" w:rsidRPr="006816A9" w:rsidRDefault="00A82CE0" w:rsidP="00ED56EE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</w:p>
        </w:tc>
      </w:tr>
      <w:tr w:rsidR="00A82CE0" w:rsidTr="00ED56EE">
        <w:tc>
          <w:tcPr>
            <w:tcW w:w="5090" w:type="dxa"/>
          </w:tcPr>
          <w:p w:rsidR="00A82CE0" w:rsidRDefault="00A82CE0" w:rsidP="00ED56EE">
            <w:pPr>
              <w:pStyle w:val="Textoindependiente"/>
              <w:ind w:left="720"/>
              <w:jc w:val="both"/>
              <w:rPr>
                <w:b/>
                <w:sz w:val="18"/>
                <w:szCs w:val="18"/>
                <w:lang w:val="es-ES" w:eastAsia="zh-CN"/>
              </w:rPr>
            </w:pPr>
            <w:r w:rsidRPr="006816A9">
              <w:rPr>
                <w:b/>
                <w:sz w:val="18"/>
                <w:szCs w:val="18"/>
                <w:lang w:val="es-ES" w:eastAsia="zh-CN"/>
              </w:rPr>
              <w:t xml:space="preserve">  </w:t>
            </w:r>
            <w:r w:rsidR="007D5630">
              <w:rPr>
                <w:b/>
                <w:sz w:val="18"/>
                <w:szCs w:val="18"/>
                <w:lang w:val="es-ES" w:eastAsia="zh-CN"/>
              </w:rPr>
              <w:t xml:space="preserve">REALIZACIÓN DE  SESIONES </w:t>
            </w:r>
          </w:p>
          <w:p w:rsidR="007D5630" w:rsidRPr="007D5630" w:rsidRDefault="007D5630" w:rsidP="007D5630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  <w:r w:rsidRPr="007D5630">
              <w:rPr>
                <w:sz w:val="18"/>
                <w:szCs w:val="18"/>
                <w:lang w:val="es-ES" w:eastAsia="zh-CN"/>
              </w:rPr>
              <w:t>Son espacios de  discusión, análisis  y  prop</w:t>
            </w:r>
            <w:r>
              <w:rPr>
                <w:sz w:val="18"/>
                <w:szCs w:val="18"/>
                <w:lang w:val="es-ES" w:eastAsia="zh-CN"/>
              </w:rPr>
              <w:t>uestas a  diferentes  temáticas establecidas para cada sesión</w:t>
            </w:r>
            <w:r w:rsidRPr="007D5630">
              <w:rPr>
                <w:sz w:val="18"/>
                <w:szCs w:val="18"/>
                <w:lang w:val="es-ES" w:eastAsia="zh-CN"/>
              </w:rPr>
              <w:t xml:space="preserve"> programada generalmente  cada 15 días  y extraordinariamente cada  semana</w:t>
            </w:r>
            <w:r>
              <w:rPr>
                <w:sz w:val="18"/>
                <w:szCs w:val="18"/>
                <w:lang w:val="es-ES" w:eastAsia="zh-CN"/>
              </w:rPr>
              <w:t xml:space="preserve"> por los representantes del Consejo de  Educación Superior.</w:t>
            </w:r>
          </w:p>
          <w:p w:rsidR="00A82CE0" w:rsidRPr="006816A9" w:rsidRDefault="00A82CE0" w:rsidP="00ED56EE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</w:p>
        </w:tc>
        <w:tc>
          <w:tcPr>
            <w:tcW w:w="5117" w:type="dxa"/>
          </w:tcPr>
          <w:p w:rsidR="00A82CE0" w:rsidRPr="006816A9" w:rsidRDefault="00A82CE0" w:rsidP="00ED56EE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  <w:r w:rsidRPr="006816A9">
              <w:rPr>
                <w:b/>
                <w:sz w:val="18"/>
                <w:szCs w:val="18"/>
                <w:lang w:val="es-ES" w:eastAsia="zh-CN"/>
              </w:rPr>
              <w:t>¿QUIENES  PART</w:t>
            </w:r>
            <w:r w:rsidR="00FF1BA8">
              <w:rPr>
                <w:b/>
                <w:sz w:val="18"/>
                <w:szCs w:val="18"/>
                <w:lang w:val="es-ES" w:eastAsia="zh-CN"/>
              </w:rPr>
              <w:t>ICIPAN  EN  EL CONSEJO DE EDUCACIÓN SUPERIOR</w:t>
            </w:r>
            <w:r w:rsidRPr="006816A9">
              <w:rPr>
                <w:b/>
                <w:sz w:val="18"/>
                <w:szCs w:val="18"/>
                <w:lang w:val="es-ES" w:eastAsia="zh-CN"/>
              </w:rPr>
              <w:t>?</w:t>
            </w:r>
          </w:p>
          <w:p w:rsidR="00A82CE0" w:rsidRPr="006816A9" w:rsidRDefault="00FF1BA8" w:rsidP="000A350B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  <w:r>
              <w:rPr>
                <w:sz w:val="18"/>
                <w:szCs w:val="18"/>
                <w:lang w:val="es-ES" w:eastAsia="zh-CN"/>
              </w:rPr>
              <w:t xml:space="preserve"> D</w:t>
            </w:r>
            <w:r w:rsidRPr="00FF1BA8">
              <w:rPr>
                <w:sz w:val="18"/>
                <w:szCs w:val="18"/>
                <w:lang w:val="es-ES" w:eastAsia="zh-CN"/>
              </w:rPr>
              <w:t>os representan</w:t>
            </w:r>
            <w:r>
              <w:rPr>
                <w:sz w:val="18"/>
                <w:szCs w:val="18"/>
                <w:lang w:val="es-ES" w:eastAsia="zh-CN"/>
              </w:rPr>
              <w:t xml:space="preserve">tes del </w:t>
            </w:r>
            <w:r w:rsidR="00C21B7A">
              <w:rPr>
                <w:sz w:val="18"/>
                <w:szCs w:val="18"/>
                <w:lang w:val="es-ES" w:eastAsia="zh-CN"/>
              </w:rPr>
              <w:t>M</w:t>
            </w:r>
            <w:r>
              <w:rPr>
                <w:sz w:val="18"/>
                <w:szCs w:val="18"/>
                <w:lang w:val="es-ES" w:eastAsia="zh-CN"/>
              </w:rPr>
              <w:t xml:space="preserve">inisterio de </w:t>
            </w:r>
            <w:r w:rsidR="00C21B7A">
              <w:rPr>
                <w:sz w:val="18"/>
                <w:szCs w:val="18"/>
                <w:lang w:val="es-ES" w:eastAsia="zh-CN"/>
              </w:rPr>
              <w:t>E</w:t>
            </w:r>
            <w:r>
              <w:rPr>
                <w:sz w:val="18"/>
                <w:szCs w:val="18"/>
                <w:lang w:val="es-ES" w:eastAsia="zh-CN"/>
              </w:rPr>
              <w:t xml:space="preserve">ducación, </w:t>
            </w:r>
            <w:r w:rsidRPr="00FF1BA8">
              <w:rPr>
                <w:sz w:val="18"/>
                <w:szCs w:val="18"/>
                <w:lang w:val="es-ES" w:eastAsia="zh-CN"/>
              </w:rPr>
              <w:t xml:space="preserve">un representante de la </w:t>
            </w:r>
            <w:r w:rsidR="00C21B7A">
              <w:rPr>
                <w:sz w:val="18"/>
                <w:szCs w:val="18"/>
                <w:lang w:val="es-ES" w:eastAsia="zh-CN"/>
              </w:rPr>
              <w:t>U</w:t>
            </w:r>
            <w:r w:rsidRPr="00FF1BA8">
              <w:rPr>
                <w:sz w:val="18"/>
                <w:szCs w:val="18"/>
                <w:lang w:val="es-ES" w:eastAsia="zh-CN"/>
              </w:rPr>
              <w:t>niv</w:t>
            </w:r>
            <w:r>
              <w:rPr>
                <w:sz w:val="18"/>
                <w:szCs w:val="18"/>
                <w:lang w:val="es-ES" w:eastAsia="zh-CN"/>
              </w:rPr>
              <w:t xml:space="preserve">ersidad de </w:t>
            </w:r>
            <w:r w:rsidR="00C21B7A">
              <w:rPr>
                <w:sz w:val="18"/>
                <w:szCs w:val="18"/>
                <w:lang w:val="es-ES" w:eastAsia="zh-CN"/>
              </w:rPr>
              <w:t>E</w:t>
            </w:r>
            <w:r>
              <w:rPr>
                <w:sz w:val="18"/>
                <w:szCs w:val="18"/>
                <w:lang w:val="es-ES" w:eastAsia="zh-CN"/>
              </w:rPr>
              <w:t>l salvador,</w:t>
            </w:r>
            <w:r w:rsidRPr="00FF1BA8">
              <w:rPr>
                <w:sz w:val="18"/>
                <w:szCs w:val="18"/>
                <w:lang w:val="es-ES" w:eastAsia="zh-CN"/>
              </w:rPr>
              <w:t xml:space="preserve"> dos representantes de las uni</w:t>
            </w:r>
            <w:r>
              <w:rPr>
                <w:sz w:val="18"/>
                <w:szCs w:val="18"/>
                <w:lang w:val="es-ES" w:eastAsia="zh-CN"/>
              </w:rPr>
              <w:t xml:space="preserve">versidades privadas acreditadas, </w:t>
            </w:r>
            <w:r w:rsidRPr="00FF1BA8">
              <w:rPr>
                <w:sz w:val="18"/>
                <w:szCs w:val="18"/>
                <w:lang w:val="es-ES" w:eastAsia="zh-CN"/>
              </w:rPr>
              <w:t>un  representante  de  los  institutos  especializados  de  nivel  superior</w:t>
            </w:r>
            <w:r>
              <w:rPr>
                <w:sz w:val="18"/>
                <w:szCs w:val="18"/>
                <w:lang w:val="es-ES" w:eastAsia="zh-CN"/>
              </w:rPr>
              <w:t xml:space="preserve"> acreditados,</w:t>
            </w:r>
            <w:r w:rsidRPr="00FF1BA8">
              <w:rPr>
                <w:sz w:val="18"/>
                <w:szCs w:val="18"/>
                <w:lang w:val="es-ES" w:eastAsia="zh-CN"/>
              </w:rPr>
              <w:t xml:space="preserve"> un representante de los inst</w:t>
            </w:r>
            <w:r>
              <w:rPr>
                <w:sz w:val="18"/>
                <w:szCs w:val="18"/>
                <w:lang w:val="es-ES" w:eastAsia="zh-CN"/>
              </w:rPr>
              <w:t>itutos tecnológicos acreditados,</w:t>
            </w:r>
            <w:r w:rsidRPr="00FF1BA8">
              <w:rPr>
                <w:sz w:val="18"/>
                <w:szCs w:val="18"/>
                <w:lang w:val="es-ES" w:eastAsia="zh-CN"/>
              </w:rPr>
              <w:t xml:space="preserve"> un representante de las asociaciones gremiales de la empresa privada,</w:t>
            </w:r>
            <w:r>
              <w:rPr>
                <w:sz w:val="18"/>
                <w:szCs w:val="18"/>
                <w:lang w:val="es-ES" w:eastAsia="zh-CN"/>
              </w:rPr>
              <w:t xml:space="preserve"> legalmente establecidas, un representante de</w:t>
            </w:r>
            <w:r w:rsidRPr="00FF1BA8">
              <w:rPr>
                <w:sz w:val="18"/>
                <w:szCs w:val="18"/>
                <w:lang w:val="es-ES" w:eastAsia="zh-CN"/>
              </w:rPr>
              <w:t xml:space="preserve"> l</w:t>
            </w:r>
            <w:r w:rsidR="00D30F1F">
              <w:rPr>
                <w:sz w:val="18"/>
                <w:szCs w:val="18"/>
                <w:lang w:val="es-ES" w:eastAsia="zh-CN"/>
              </w:rPr>
              <w:t>as  asociaciones  gremiales  de</w:t>
            </w:r>
            <w:r w:rsidRPr="00FF1BA8">
              <w:rPr>
                <w:sz w:val="18"/>
                <w:szCs w:val="18"/>
                <w:lang w:val="es-ES" w:eastAsia="zh-CN"/>
              </w:rPr>
              <w:t xml:space="preserve"> profesionales,</w:t>
            </w:r>
            <w:r w:rsidR="00D30F1F">
              <w:rPr>
                <w:sz w:val="18"/>
                <w:szCs w:val="18"/>
                <w:lang w:val="es-ES" w:eastAsia="zh-CN"/>
              </w:rPr>
              <w:t xml:space="preserve"> </w:t>
            </w:r>
            <w:r w:rsidRPr="00FF1BA8">
              <w:rPr>
                <w:sz w:val="18"/>
                <w:szCs w:val="18"/>
                <w:lang w:val="es-ES" w:eastAsia="zh-CN"/>
              </w:rPr>
              <w:t>legalmente establecidas.</w:t>
            </w:r>
          </w:p>
        </w:tc>
      </w:tr>
      <w:tr w:rsidR="00A82CE0" w:rsidTr="00ED56EE">
        <w:tc>
          <w:tcPr>
            <w:tcW w:w="10207" w:type="dxa"/>
            <w:gridSpan w:val="2"/>
          </w:tcPr>
          <w:p w:rsidR="00A82CE0" w:rsidRDefault="00A82CE0" w:rsidP="00ED56EE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  <w:r>
              <w:rPr>
                <w:b/>
                <w:sz w:val="18"/>
                <w:szCs w:val="18"/>
                <w:lang w:val="es-ES" w:eastAsia="zh-CN"/>
              </w:rPr>
              <w:t xml:space="preserve">RESULTADOS </w:t>
            </w:r>
          </w:p>
          <w:p w:rsidR="002374A0" w:rsidRPr="002374A0" w:rsidRDefault="002374A0" w:rsidP="002374A0">
            <w:pPr>
              <w:pStyle w:val="Textoindependiente"/>
              <w:jc w:val="center"/>
              <w:rPr>
                <w:sz w:val="18"/>
                <w:szCs w:val="18"/>
                <w:lang w:val="es-ES" w:eastAsia="zh-CN"/>
              </w:rPr>
            </w:pPr>
            <w:r>
              <w:rPr>
                <w:sz w:val="18"/>
                <w:szCs w:val="18"/>
                <w:lang w:val="es-ES" w:eastAsia="zh-CN"/>
              </w:rPr>
              <w:t>Propuestas de  mejoras  a la  Educación Superior del país.</w:t>
            </w:r>
          </w:p>
          <w:p w:rsidR="00A82CE0" w:rsidRPr="00B25E9E" w:rsidRDefault="00A82CE0" w:rsidP="007D5630">
            <w:pPr>
              <w:rPr>
                <w:sz w:val="18"/>
                <w:szCs w:val="18"/>
                <w:lang w:val="es-ES" w:eastAsia="zh-CN"/>
              </w:rPr>
            </w:pPr>
          </w:p>
        </w:tc>
      </w:tr>
    </w:tbl>
    <w:p w:rsidR="00A82CE0" w:rsidRPr="00B6718B" w:rsidRDefault="00A82CE0" w:rsidP="00A82CE0">
      <w:pPr>
        <w:pStyle w:val="Textoindependiente"/>
        <w:jc w:val="both"/>
        <w:rPr>
          <w:lang w:val="es-ES" w:eastAsia="zh-CN"/>
        </w:rPr>
      </w:pPr>
      <w:r w:rsidRPr="00A34B1E">
        <w:rPr>
          <w:lang w:val="es-ES" w:eastAsia="zh-CN"/>
        </w:rPr>
        <w:t xml:space="preserve"> </w:t>
      </w:r>
      <w:r>
        <w:rPr>
          <w:lang w:val="es-ES" w:eastAsia="zh-CN"/>
        </w:rPr>
        <w:t xml:space="preserve"> </w:t>
      </w:r>
    </w:p>
    <w:tbl>
      <w:tblPr>
        <w:tblStyle w:val="Tablaconcuadrcula"/>
        <w:tblW w:w="10207" w:type="dxa"/>
        <w:tblInd w:w="-601" w:type="dxa"/>
        <w:tblLook w:val="04A0" w:firstRow="1" w:lastRow="0" w:firstColumn="1" w:lastColumn="0" w:noHBand="0" w:noVBand="1"/>
      </w:tblPr>
      <w:tblGrid>
        <w:gridCol w:w="5090"/>
        <w:gridCol w:w="5117"/>
      </w:tblGrid>
      <w:tr w:rsidR="001E066D" w:rsidRPr="00EB4C75" w:rsidTr="00D46954">
        <w:trPr>
          <w:trHeight w:val="264"/>
        </w:trPr>
        <w:tc>
          <w:tcPr>
            <w:tcW w:w="10207" w:type="dxa"/>
            <w:gridSpan w:val="2"/>
            <w:shd w:val="clear" w:color="auto" w:fill="C6D9F1" w:themeFill="text2" w:themeFillTint="33"/>
          </w:tcPr>
          <w:p w:rsidR="006214FB" w:rsidRPr="006214FB" w:rsidRDefault="006214FB" w:rsidP="006214FB">
            <w:pPr>
              <w:pStyle w:val="Prrafodelista"/>
              <w:rPr>
                <w:rFonts w:ascii="Calibri" w:hAnsi="Calibri"/>
                <w:sz w:val="24"/>
              </w:rPr>
            </w:pPr>
            <w:r w:rsidRPr="000141E4">
              <w:rPr>
                <w:rFonts w:ascii="Calibri" w:eastAsia="Calibri" w:hAnsi="Calibri"/>
                <w:b/>
                <w:sz w:val="24"/>
              </w:rPr>
              <w:t>Red Interinstitucional para la Prevención del Acoso, Abuso Sexual y otras formas de Violencia de Género</w:t>
            </w:r>
            <w:r w:rsidRPr="000141E4">
              <w:rPr>
                <w:rFonts w:ascii="Calibri" w:hAnsi="Calibri"/>
                <w:b/>
                <w:sz w:val="24"/>
              </w:rPr>
              <w:t xml:space="preserve"> en las comunidades educativas</w:t>
            </w:r>
            <w:r w:rsidRPr="006214FB">
              <w:rPr>
                <w:rFonts w:ascii="Calibri" w:hAnsi="Calibri"/>
                <w:sz w:val="24"/>
              </w:rPr>
              <w:t xml:space="preserve">. </w:t>
            </w:r>
          </w:p>
          <w:p w:rsidR="001E066D" w:rsidRPr="006214FB" w:rsidRDefault="001E066D" w:rsidP="00D46954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1E066D" w:rsidRPr="006816A9" w:rsidTr="00D46954">
        <w:tc>
          <w:tcPr>
            <w:tcW w:w="5090" w:type="dxa"/>
          </w:tcPr>
          <w:p w:rsidR="001E066D" w:rsidRPr="006816A9" w:rsidRDefault="001E066D" w:rsidP="00D46954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  <w:r w:rsidRPr="006816A9">
              <w:rPr>
                <w:b/>
                <w:sz w:val="18"/>
                <w:szCs w:val="18"/>
                <w:lang w:val="es-ES" w:eastAsia="zh-CN"/>
              </w:rPr>
              <w:t>OBJETIVO</w:t>
            </w:r>
          </w:p>
          <w:p w:rsidR="000141E4" w:rsidRPr="000141E4" w:rsidRDefault="000141E4" w:rsidP="000141E4">
            <w:pPr>
              <w:spacing w:after="120"/>
              <w:ind w:left="709"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es-SV"/>
              </w:rPr>
            </w:pPr>
            <w:r w:rsidRPr="000141E4"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  <w:t>Contribuir a la prevención, atención, sanción y erradicación del acoso, abuso sexual y otras formas de violencia de género, en niñas, niños, adolescentes  y jóvenes en la comunidad educativa a través de una efectiva intervención  de las instituciones miembros de la Red con perspectiva de género y con enfoque de derechos humanos</w:t>
            </w:r>
            <w:r w:rsidRPr="000141E4">
              <w:rPr>
                <w:rFonts w:ascii="Calibri" w:eastAsia="Times New Roman" w:hAnsi="Calibri" w:cs="Times New Roman"/>
                <w:sz w:val="18"/>
                <w:szCs w:val="18"/>
                <w:lang w:eastAsia="es-SV"/>
              </w:rPr>
              <w:t>.</w:t>
            </w:r>
          </w:p>
          <w:p w:rsidR="001E066D" w:rsidRPr="006816A9" w:rsidRDefault="001E066D" w:rsidP="00D46954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</w:p>
        </w:tc>
        <w:tc>
          <w:tcPr>
            <w:tcW w:w="5117" w:type="dxa"/>
          </w:tcPr>
          <w:p w:rsidR="000141E4" w:rsidRDefault="000141E4" w:rsidP="000141E4">
            <w:pPr>
              <w:pStyle w:val="Textoindependiente"/>
              <w:jc w:val="center"/>
              <w:rPr>
                <w:rFonts w:ascii="Calibri" w:hAnsi="Calibri" w:cs="Calibri"/>
                <w:b/>
                <w:color w:val="333333"/>
                <w:sz w:val="18"/>
                <w:szCs w:val="18"/>
                <w:lang w:val="es"/>
              </w:rPr>
            </w:pPr>
            <w:r>
              <w:rPr>
                <w:rFonts w:ascii="Calibri" w:hAnsi="Calibri" w:cs="Calibri"/>
                <w:b/>
                <w:color w:val="333333"/>
                <w:sz w:val="18"/>
                <w:szCs w:val="18"/>
                <w:lang w:val="es"/>
              </w:rPr>
              <w:lastRenderedPageBreak/>
              <w:t xml:space="preserve">ESTRATEGIA  </w:t>
            </w:r>
          </w:p>
          <w:p w:rsidR="001E066D" w:rsidRPr="000141E4" w:rsidRDefault="000141E4" w:rsidP="000141E4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  <w:r w:rsidRPr="000141E4">
              <w:rPr>
                <w:rFonts w:ascii="Calibri" w:eastAsia="Calibri" w:hAnsi="Calibri" w:cs="Times New Roman"/>
                <w:sz w:val="18"/>
                <w:szCs w:val="18"/>
              </w:rPr>
              <w:t xml:space="preserve">Red Interinstitucional que ejerce un liderazgo compartido con el </w:t>
            </w:r>
            <w:r w:rsidRPr="000141E4">
              <w:rPr>
                <w:rFonts w:ascii="Calibri" w:eastAsia="Calibri" w:hAnsi="Calibri" w:cs="Times New Roman"/>
                <w:b/>
                <w:sz w:val="18"/>
                <w:szCs w:val="18"/>
              </w:rPr>
              <w:t>Ministerio de Educación</w:t>
            </w:r>
            <w:r w:rsidRPr="000141E4">
              <w:rPr>
                <w:rFonts w:ascii="Calibri" w:eastAsia="Calibri" w:hAnsi="Calibri" w:cs="Times New Roman"/>
                <w:sz w:val="18"/>
                <w:szCs w:val="18"/>
              </w:rPr>
              <w:t xml:space="preserve"> para implementar acciones que inciden a nivel local, departamental y nacional para la prevención y atención de la violencia de género con  enfoque de derechos humanos y énfasis en el acoso y abuso sexual de niñas, niños y jóvenes; trascendiendo sus acciones a la familia y a la comunidad</w:t>
            </w:r>
          </w:p>
        </w:tc>
      </w:tr>
      <w:tr w:rsidR="001E066D" w:rsidRPr="006816A9" w:rsidTr="00D46954">
        <w:tc>
          <w:tcPr>
            <w:tcW w:w="5090" w:type="dxa"/>
          </w:tcPr>
          <w:p w:rsidR="001E066D" w:rsidRDefault="001E066D" w:rsidP="00D46954">
            <w:pPr>
              <w:pStyle w:val="Textoindependiente"/>
              <w:ind w:left="720"/>
              <w:jc w:val="both"/>
              <w:rPr>
                <w:b/>
                <w:sz w:val="18"/>
                <w:szCs w:val="18"/>
                <w:lang w:val="es-ES" w:eastAsia="zh-CN"/>
              </w:rPr>
            </w:pPr>
            <w:r w:rsidRPr="006816A9">
              <w:rPr>
                <w:b/>
                <w:sz w:val="18"/>
                <w:szCs w:val="18"/>
                <w:lang w:val="es-ES" w:eastAsia="zh-CN"/>
              </w:rPr>
              <w:lastRenderedPageBreak/>
              <w:t xml:space="preserve">  </w:t>
            </w:r>
            <w:r>
              <w:rPr>
                <w:b/>
                <w:sz w:val="18"/>
                <w:szCs w:val="18"/>
                <w:lang w:val="es-ES" w:eastAsia="zh-CN"/>
              </w:rPr>
              <w:t xml:space="preserve">REALIZACIÓN DE  SESIONES </w:t>
            </w:r>
          </w:p>
          <w:p w:rsidR="001E066D" w:rsidRPr="007D5630" w:rsidRDefault="001E066D" w:rsidP="00D46954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  <w:r w:rsidRPr="007D5630">
              <w:rPr>
                <w:sz w:val="18"/>
                <w:szCs w:val="18"/>
                <w:lang w:val="es-ES" w:eastAsia="zh-CN"/>
              </w:rPr>
              <w:t>Son espacios de  discusión, análisis  y  prop</w:t>
            </w:r>
            <w:r w:rsidR="002F406B">
              <w:rPr>
                <w:sz w:val="18"/>
                <w:szCs w:val="18"/>
                <w:lang w:val="es-ES" w:eastAsia="zh-CN"/>
              </w:rPr>
              <w:t>uestas a  diferentes  temáticas.</w:t>
            </w:r>
          </w:p>
          <w:p w:rsidR="001E066D" w:rsidRPr="006816A9" w:rsidRDefault="001E066D" w:rsidP="00D46954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</w:p>
        </w:tc>
        <w:tc>
          <w:tcPr>
            <w:tcW w:w="5117" w:type="dxa"/>
          </w:tcPr>
          <w:p w:rsidR="000141E4" w:rsidRDefault="001E066D" w:rsidP="00D46954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  <w:r w:rsidRPr="006816A9">
              <w:rPr>
                <w:b/>
                <w:sz w:val="18"/>
                <w:szCs w:val="18"/>
                <w:lang w:val="es-ES" w:eastAsia="zh-CN"/>
              </w:rPr>
              <w:t>¿QUIENES  PART</w:t>
            </w:r>
            <w:r>
              <w:rPr>
                <w:b/>
                <w:sz w:val="18"/>
                <w:szCs w:val="18"/>
                <w:lang w:val="es-ES" w:eastAsia="zh-CN"/>
              </w:rPr>
              <w:t xml:space="preserve">ICIPAN  </w:t>
            </w:r>
          </w:p>
          <w:p w:rsidR="000141E4" w:rsidRPr="000141E4" w:rsidRDefault="000141E4" w:rsidP="000141E4">
            <w:pPr>
              <w:ind w:left="720"/>
              <w:contextualSpacing/>
              <w:jc w:val="both"/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</w:pPr>
            <w:r w:rsidRPr="000141E4"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  <w:t>Las organizaciones que conforman la Red de PVGCE son:</w:t>
            </w:r>
          </w:p>
          <w:p w:rsidR="000141E4" w:rsidRPr="000141E4" w:rsidRDefault="000141E4" w:rsidP="000141E4">
            <w:pPr>
              <w:numPr>
                <w:ilvl w:val="0"/>
                <w:numId w:val="5"/>
              </w:numPr>
              <w:suppressAutoHyphens/>
              <w:jc w:val="both"/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</w:pPr>
            <w:r w:rsidRPr="000141E4"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  <w:t>Ministerio de Educación MINED</w:t>
            </w:r>
            <w:r w:rsidRPr="000141E4">
              <w:rPr>
                <w:rFonts w:ascii="Calibri" w:eastAsia="Times New Roman" w:hAnsi="Calibri" w:cs="Times New Roman"/>
                <w:sz w:val="18"/>
                <w:szCs w:val="18"/>
                <w:lang w:eastAsia="es-SV"/>
              </w:rPr>
              <w:t xml:space="preserve"> (Lidera)</w:t>
            </w:r>
          </w:p>
          <w:p w:rsidR="000141E4" w:rsidRPr="000141E4" w:rsidRDefault="000141E4" w:rsidP="000141E4">
            <w:pPr>
              <w:numPr>
                <w:ilvl w:val="0"/>
                <w:numId w:val="5"/>
              </w:numPr>
              <w:suppressAutoHyphens/>
              <w:jc w:val="both"/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</w:pPr>
            <w:r w:rsidRPr="000141E4"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  <w:t>Procuraduría Gener</w:t>
            </w:r>
            <w:r w:rsidRPr="000141E4">
              <w:rPr>
                <w:rFonts w:ascii="Calibri" w:eastAsia="Times New Roman" w:hAnsi="Calibri" w:cs="Times New Roman"/>
                <w:sz w:val="18"/>
                <w:szCs w:val="18"/>
                <w:lang w:eastAsia="es-SV"/>
              </w:rPr>
              <w:t>al de la Repú</w:t>
            </w:r>
            <w:r w:rsidRPr="000141E4"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  <w:t>blica PGR</w:t>
            </w:r>
          </w:p>
          <w:p w:rsidR="000141E4" w:rsidRPr="000141E4" w:rsidRDefault="000141E4" w:rsidP="000141E4">
            <w:pPr>
              <w:numPr>
                <w:ilvl w:val="0"/>
                <w:numId w:val="5"/>
              </w:numPr>
              <w:suppressAutoHyphens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es-SV"/>
              </w:rPr>
            </w:pPr>
            <w:r w:rsidRPr="000141E4"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  <w:t xml:space="preserve">Ministerio de Salud </w:t>
            </w:r>
          </w:p>
          <w:p w:rsidR="000141E4" w:rsidRPr="000141E4" w:rsidRDefault="000141E4" w:rsidP="000141E4">
            <w:pPr>
              <w:numPr>
                <w:ilvl w:val="0"/>
                <w:numId w:val="5"/>
              </w:numPr>
              <w:suppressAutoHyphens/>
              <w:jc w:val="both"/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</w:pPr>
            <w:r w:rsidRPr="000141E4"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  <w:t>Instituto para el Desarrollo de la Mujer ISDEMU</w:t>
            </w:r>
          </w:p>
          <w:p w:rsidR="000141E4" w:rsidRPr="000141E4" w:rsidRDefault="000141E4" w:rsidP="000141E4">
            <w:pPr>
              <w:numPr>
                <w:ilvl w:val="0"/>
                <w:numId w:val="5"/>
              </w:numPr>
              <w:suppressAutoHyphens/>
              <w:jc w:val="both"/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</w:pPr>
            <w:r w:rsidRPr="000141E4">
              <w:rPr>
                <w:rFonts w:ascii="Calibri" w:eastAsia="Times New Roman" w:hAnsi="Calibri" w:cs="Times New Roman"/>
                <w:sz w:val="18"/>
                <w:szCs w:val="18"/>
                <w:lang w:eastAsia="es-SV"/>
              </w:rPr>
              <w:t>Consejo Nacional de la Niñez y Adolescencia CONNA</w:t>
            </w:r>
          </w:p>
          <w:p w:rsidR="000141E4" w:rsidRPr="000141E4" w:rsidRDefault="000141E4" w:rsidP="000141E4">
            <w:pPr>
              <w:numPr>
                <w:ilvl w:val="0"/>
                <w:numId w:val="5"/>
              </w:numPr>
              <w:suppressAutoHyphens/>
              <w:jc w:val="both"/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</w:pPr>
            <w:r w:rsidRPr="000141E4"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  <w:t>Plan Internacional, Inc. El Salvador</w:t>
            </w:r>
          </w:p>
          <w:p w:rsidR="000141E4" w:rsidRPr="000141E4" w:rsidRDefault="000141E4" w:rsidP="000141E4">
            <w:pPr>
              <w:numPr>
                <w:ilvl w:val="0"/>
                <w:numId w:val="5"/>
              </w:numPr>
              <w:suppressAutoHyphens/>
              <w:jc w:val="both"/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</w:pPr>
            <w:r w:rsidRPr="000141E4"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  <w:t>Centro Bartolomé de las Casas. Corporación Santo Domingo</w:t>
            </w:r>
          </w:p>
          <w:p w:rsidR="000141E4" w:rsidRPr="000141E4" w:rsidRDefault="000141E4" w:rsidP="000141E4">
            <w:pPr>
              <w:numPr>
                <w:ilvl w:val="0"/>
                <w:numId w:val="5"/>
              </w:numPr>
              <w:suppressAutoHyphens/>
              <w:jc w:val="both"/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</w:pPr>
            <w:r w:rsidRPr="000141E4"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  <w:t>Fondo de las Naciones Unidas para la Infancia UNICEF El Salvador</w:t>
            </w:r>
          </w:p>
          <w:p w:rsidR="000141E4" w:rsidRPr="000141E4" w:rsidRDefault="000141E4" w:rsidP="000141E4">
            <w:pPr>
              <w:numPr>
                <w:ilvl w:val="0"/>
                <w:numId w:val="5"/>
              </w:numPr>
              <w:suppressAutoHyphens/>
              <w:jc w:val="both"/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</w:pPr>
            <w:r w:rsidRPr="000141E4"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  <w:t>Fondo de Población de las Naciones Unidas UNFPA El Salvador</w:t>
            </w:r>
          </w:p>
          <w:p w:rsidR="000141E4" w:rsidRPr="000141E4" w:rsidRDefault="000141E4" w:rsidP="000141E4">
            <w:pPr>
              <w:numPr>
                <w:ilvl w:val="0"/>
                <w:numId w:val="5"/>
              </w:numPr>
              <w:suppressAutoHyphens/>
              <w:jc w:val="both"/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</w:pPr>
            <w:r w:rsidRPr="000141E4"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  <w:t>Instituto de Investigación, Capacitación y Desarrollo de la Mujer IMU</w:t>
            </w:r>
          </w:p>
          <w:p w:rsidR="000141E4" w:rsidRPr="000141E4" w:rsidRDefault="000141E4" w:rsidP="000141E4">
            <w:pPr>
              <w:numPr>
                <w:ilvl w:val="0"/>
                <w:numId w:val="5"/>
              </w:numPr>
              <w:suppressAutoHyphens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es-SV"/>
              </w:rPr>
            </w:pPr>
            <w:proofErr w:type="spellStart"/>
            <w:r w:rsidRPr="000141E4"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  <w:t>Save</w:t>
            </w:r>
            <w:proofErr w:type="spellEnd"/>
            <w:r w:rsidRPr="000141E4"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  <w:t xml:space="preserve"> </w:t>
            </w:r>
            <w:proofErr w:type="spellStart"/>
            <w:r w:rsidRPr="000141E4"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  <w:t>the</w:t>
            </w:r>
            <w:proofErr w:type="spellEnd"/>
            <w:r w:rsidRPr="000141E4"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  <w:t xml:space="preserve"> </w:t>
            </w:r>
            <w:proofErr w:type="spellStart"/>
            <w:r w:rsidRPr="000141E4"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  <w:t>Children</w:t>
            </w:r>
            <w:proofErr w:type="spellEnd"/>
            <w:r w:rsidRPr="000141E4"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  <w:t xml:space="preserve"> </w:t>
            </w:r>
          </w:p>
          <w:p w:rsidR="000141E4" w:rsidRPr="000141E4" w:rsidRDefault="000141E4" w:rsidP="000141E4">
            <w:pPr>
              <w:numPr>
                <w:ilvl w:val="0"/>
                <w:numId w:val="5"/>
              </w:numPr>
              <w:suppressAutoHyphens/>
              <w:jc w:val="both"/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</w:pPr>
            <w:proofErr w:type="spellStart"/>
            <w:r w:rsidRPr="000141E4"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  <w:t>Oxfam</w:t>
            </w:r>
            <w:proofErr w:type="spellEnd"/>
            <w:r w:rsidRPr="000141E4"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  <w:t xml:space="preserve"> América, Campaña de Prevención de Violencia</w:t>
            </w:r>
            <w:r w:rsidRPr="000141E4">
              <w:rPr>
                <w:rFonts w:ascii="Calibri" w:eastAsia="Times New Roman" w:hAnsi="Calibri" w:cs="Times New Roman"/>
                <w:sz w:val="18"/>
                <w:szCs w:val="18"/>
                <w:lang w:eastAsia="es-SV"/>
              </w:rPr>
              <w:t xml:space="preserve"> de Género</w:t>
            </w:r>
          </w:p>
          <w:p w:rsidR="001E066D" w:rsidRPr="000141E4" w:rsidRDefault="001E066D" w:rsidP="000141E4">
            <w:pPr>
              <w:pStyle w:val="Textoindependiente"/>
              <w:jc w:val="both"/>
              <w:rPr>
                <w:b/>
                <w:sz w:val="18"/>
                <w:szCs w:val="18"/>
                <w:lang w:eastAsia="zh-CN"/>
              </w:rPr>
            </w:pPr>
          </w:p>
          <w:p w:rsidR="001E066D" w:rsidRPr="006816A9" w:rsidRDefault="001E066D" w:rsidP="000141E4">
            <w:pPr>
              <w:pStyle w:val="Textoindependiente"/>
              <w:jc w:val="both"/>
              <w:rPr>
                <w:sz w:val="18"/>
                <w:szCs w:val="18"/>
                <w:lang w:val="es-ES" w:eastAsia="zh-CN"/>
              </w:rPr>
            </w:pPr>
            <w:r>
              <w:rPr>
                <w:sz w:val="18"/>
                <w:szCs w:val="18"/>
                <w:lang w:val="es-ES" w:eastAsia="zh-CN"/>
              </w:rPr>
              <w:t xml:space="preserve"> </w:t>
            </w:r>
          </w:p>
        </w:tc>
      </w:tr>
      <w:tr w:rsidR="001E066D" w:rsidRPr="00B25E9E" w:rsidTr="00D46954">
        <w:tc>
          <w:tcPr>
            <w:tcW w:w="10207" w:type="dxa"/>
            <w:gridSpan w:val="2"/>
          </w:tcPr>
          <w:p w:rsidR="001E066D" w:rsidRDefault="001E066D" w:rsidP="00D46954">
            <w:pPr>
              <w:pStyle w:val="Textoindependiente"/>
              <w:jc w:val="center"/>
              <w:rPr>
                <w:b/>
                <w:sz w:val="18"/>
                <w:szCs w:val="18"/>
                <w:lang w:val="es-ES" w:eastAsia="zh-CN"/>
              </w:rPr>
            </w:pPr>
            <w:r>
              <w:rPr>
                <w:b/>
                <w:sz w:val="18"/>
                <w:szCs w:val="18"/>
                <w:lang w:val="es-ES" w:eastAsia="zh-CN"/>
              </w:rPr>
              <w:t xml:space="preserve">RESULTADOS </w:t>
            </w:r>
          </w:p>
          <w:p w:rsidR="000141E4" w:rsidRPr="000141E4" w:rsidRDefault="000141E4" w:rsidP="000141E4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jc w:val="both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141E4">
              <w:rPr>
                <w:rFonts w:ascii="Calibri" w:eastAsia="Calibri" w:hAnsi="Calibri" w:cs="Times New Roman"/>
                <w:sz w:val="18"/>
                <w:szCs w:val="18"/>
              </w:rPr>
              <w:t xml:space="preserve">Campañas de prevención de violencia de género  con énfasis en violencia sexual en  la comunidad educativa y en diferentes radios del país. </w:t>
            </w:r>
          </w:p>
          <w:p w:rsidR="000141E4" w:rsidRPr="000141E4" w:rsidRDefault="000141E4" w:rsidP="000141E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1E066D" w:rsidRPr="000141E4" w:rsidRDefault="000141E4" w:rsidP="000141E4">
            <w:pPr>
              <w:pStyle w:val="Textoindependiente"/>
              <w:numPr>
                <w:ilvl w:val="0"/>
                <w:numId w:val="4"/>
              </w:numPr>
              <w:jc w:val="both"/>
              <w:rPr>
                <w:sz w:val="18"/>
                <w:szCs w:val="18"/>
                <w:lang w:val="es-ES" w:eastAsia="zh-CN"/>
              </w:rPr>
            </w:pPr>
            <w:r w:rsidRPr="000141E4">
              <w:rPr>
                <w:rFonts w:ascii="Calibri" w:eastAsia="Calibri" w:hAnsi="Calibri" w:cs="Times New Roman"/>
                <w:sz w:val="18"/>
                <w:szCs w:val="18"/>
              </w:rPr>
              <w:t xml:space="preserve">Elaboración del  Protocolo de actuación para el abordaje de la violencia sexual en las comunidades educativas de El Salvador y protocolo amigable versión cuento “Tu voz tiene poder” dirigido a niñez de 9 a 12 años. </w:t>
            </w:r>
            <w:r w:rsidRPr="000141E4"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  <w:t xml:space="preserve">Este  protocolo tiene como objetivo constituirse en una herramienta práctica y  de utilidad para todas las y los integrantes de la comunidad educativa, al momento de ser necesario intervenir en el abordaje de casos de acoso, agresión y violación sexual, tres de las modalidades más cotidianas de la violencia sexual. El protocolo brinda orientaciones  a partir de un marco conceptual, un marco legal vigente  que comprende la Normativa Internacional y Nacional, para abordar situaciones particulares de vulneración de Derechos de niñas, niños y adolescentes identificando  y detectando casos a través de una ruta jurídica que facilita identificar  a las instituciones  obligadas actuar frente a las situaciones de violencia sexual, frente a las cuales las autoridades están obligadas a iniciar las investigaciones de los hechos, así como a proceder de inmediato a tomar medidas de protección a las víctimas, que incluyen el evitar la </w:t>
            </w:r>
            <w:proofErr w:type="spellStart"/>
            <w:r w:rsidRPr="000141E4"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  <w:t>revictimización</w:t>
            </w:r>
            <w:proofErr w:type="spellEnd"/>
            <w:r w:rsidRPr="000141E4">
              <w:rPr>
                <w:rFonts w:ascii="Calibri" w:eastAsia="Calibri" w:hAnsi="Calibri" w:cs="Times New Roman"/>
                <w:sz w:val="18"/>
                <w:szCs w:val="18"/>
                <w:lang w:eastAsia="es-SV"/>
              </w:rPr>
              <w:t xml:space="preserve">  hasta garantizar la reincorporación de la persona víctima a las actividades escolares, con dignidad y efectiva protección de su integridad</w:t>
            </w:r>
            <w:r w:rsidR="001E066D" w:rsidRPr="000141E4">
              <w:rPr>
                <w:sz w:val="18"/>
                <w:szCs w:val="18"/>
                <w:lang w:val="es-ES" w:eastAsia="zh-CN"/>
              </w:rPr>
              <w:t>Propuestas de  mejoras  a la  Educación Superior del país.</w:t>
            </w:r>
          </w:p>
          <w:p w:rsidR="001E066D" w:rsidRPr="00B25E9E" w:rsidRDefault="001E066D" w:rsidP="00D46954">
            <w:pPr>
              <w:rPr>
                <w:sz w:val="18"/>
                <w:szCs w:val="18"/>
                <w:lang w:val="es-ES" w:eastAsia="zh-CN"/>
              </w:rPr>
            </w:pPr>
          </w:p>
        </w:tc>
      </w:tr>
    </w:tbl>
    <w:p w:rsidR="00343BC6" w:rsidRPr="00B6718B" w:rsidRDefault="00A34B1E" w:rsidP="00B6718B">
      <w:pPr>
        <w:pStyle w:val="Textoindependiente"/>
        <w:jc w:val="both"/>
        <w:rPr>
          <w:lang w:val="es-ES" w:eastAsia="zh-CN"/>
        </w:rPr>
      </w:pPr>
      <w:r w:rsidRPr="00A34B1E">
        <w:rPr>
          <w:lang w:val="es-ES" w:eastAsia="zh-CN"/>
        </w:rPr>
        <w:t xml:space="preserve"> </w:t>
      </w:r>
      <w:r w:rsidR="00B6718B">
        <w:rPr>
          <w:lang w:val="es-ES" w:eastAsia="zh-CN"/>
        </w:rPr>
        <w:t xml:space="preserve"> </w:t>
      </w:r>
    </w:p>
    <w:p w:rsidR="000141E4" w:rsidRDefault="000141E4" w:rsidP="00B6718B">
      <w:pPr>
        <w:jc w:val="center"/>
        <w:rPr>
          <w:b/>
          <w:u w:val="single"/>
        </w:rPr>
      </w:pPr>
    </w:p>
    <w:p w:rsidR="000141E4" w:rsidRDefault="000141E4" w:rsidP="00B6718B">
      <w:pPr>
        <w:jc w:val="center"/>
        <w:rPr>
          <w:b/>
          <w:u w:val="single"/>
        </w:rPr>
      </w:pPr>
    </w:p>
    <w:p w:rsidR="000141E4" w:rsidRDefault="000141E4" w:rsidP="00B6718B">
      <w:pPr>
        <w:jc w:val="center"/>
        <w:rPr>
          <w:b/>
          <w:u w:val="single"/>
        </w:rPr>
      </w:pPr>
    </w:p>
    <w:p w:rsidR="000141E4" w:rsidRDefault="000141E4" w:rsidP="00B6718B">
      <w:pPr>
        <w:jc w:val="center"/>
        <w:rPr>
          <w:b/>
          <w:u w:val="single"/>
        </w:rPr>
      </w:pPr>
    </w:p>
    <w:p w:rsidR="000141E4" w:rsidRDefault="000141E4" w:rsidP="00B6718B">
      <w:pPr>
        <w:jc w:val="center"/>
        <w:rPr>
          <w:b/>
          <w:u w:val="single"/>
        </w:rPr>
      </w:pPr>
    </w:p>
    <w:p w:rsidR="000141E4" w:rsidRDefault="000141E4" w:rsidP="00B6718B">
      <w:pPr>
        <w:jc w:val="center"/>
        <w:rPr>
          <w:b/>
          <w:u w:val="single"/>
        </w:rPr>
      </w:pPr>
    </w:p>
    <w:p w:rsidR="000141E4" w:rsidRDefault="000141E4" w:rsidP="00B6718B">
      <w:pPr>
        <w:jc w:val="center"/>
        <w:rPr>
          <w:b/>
          <w:u w:val="single"/>
        </w:rPr>
      </w:pPr>
    </w:p>
    <w:p w:rsidR="000141E4" w:rsidRDefault="000141E4" w:rsidP="00B6718B">
      <w:pPr>
        <w:jc w:val="center"/>
        <w:rPr>
          <w:b/>
          <w:u w:val="single"/>
        </w:rPr>
      </w:pPr>
    </w:p>
    <w:sectPr w:rsidR="000141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altName w:val="Arial"/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A3927"/>
    <w:multiLevelType w:val="hybridMultilevel"/>
    <w:tmpl w:val="A780597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735616"/>
    <w:multiLevelType w:val="hybridMultilevel"/>
    <w:tmpl w:val="89C85ABE"/>
    <w:lvl w:ilvl="0" w:tplc="87F89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140B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18AB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8257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64C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AEBA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9CB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44AE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EA4D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3672D20"/>
    <w:multiLevelType w:val="hybridMultilevel"/>
    <w:tmpl w:val="D25251E2"/>
    <w:lvl w:ilvl="0" w:tplc="C30C37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5282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A6A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2272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FA4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644F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AE18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7C2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96A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A3960A2"/>
    <w:multiLevelType w:val="hybridMultilevel"/>
    <w:tmpl w:val="D73008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50445"/>
    <w:multiLevelType w:val="hybridMultilevel"/>
    <w:tmpl w:val="04BABF2C"/>
    <w:lvl w:ilvl="0" w:tplc="4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18B"/>
    <w:rsid w:val="000141E4"/>
    <w:rsid w:val="00025FD1"/>
    <w:rsid w:val="000312D3"/>
    <w:rsid w:val="00076CB3"/>
    <w:rsid w:val="000A350B"/>
    <w:rsid w:val="000A5478"/>
    <w:rsid w:val="000E15C5"/>
    <w:rsid w:val="000F0AFA"/>
    <w:rsid w:val="000F27CA"/>
    <w:rsid w:val="00123323"/>
    <w:rsid w:val="00144311"/>
    <w:rsid w:val="00151075"/>
    <w:rsid w:val="001A353A"/>
    <w:rsid w:val="001C06FC"/>
    <w:rsid w:val="001C7EB2"/>
    <w:rsid w:val="001E066D"/>
    <w:rsid w:val="001E07F2"/>
    <w:rsid w:val="001E257A"/>
    <w:rsid w:val="00213B53"/>
    <w:rsid w:val="002374A0"/>
    <w:rsid w:val="00244DE4"/>
    <w:rsid w:val="00261E03"/>
    <w:rsid w:val="00293437"/>
    <w:rsid w:val="002B02AE"/>
    <w:rsid w:val="002B5564"/>
    <w:rsid w:val="002C43E8"/>
    <w:rsid w:val="002E485B"/>
    <w:rsid w:val="002F406B"/>
    <w:rsid w:val="00333589"/>
    <w:rsid w:val="003422F5"/>
    <w:rsid w:val="00343BC6"/>
    <w:rsid w:val="00345BDF"/>
    <w:rsid w:val="00356811"/>
    <w:rsid w:val="003572F1"/>
    <w:rsid w:val="00396B16"/>
    <w:rsid w:val="003970F9"/>
    <w:rsid w:val="003A0118"/>
    <w:rsid w:val="003D76A1"/>
    <w:rsid w:val="003E3813"/>
    <w:rsid w:val="003E7920"/>
    <w:rsid w:val="00417B8C"/>
    <w:rsid w:val="00420992"/>
    <w:rsid w:val="00441BFA"/>
    <w:rsid w:val="004570F9"/>
    <w:rsid w:val="0047114F"/>
    <w:rsid w:val="00483C80"/>
    <w:rsid w:val="004A2D34"/>
    <w:rsid w:val="0056246B"/>
    <w:rsid w:val="0058140A"/>
    <w:rsid w:val="0059293B"/>
    <w:rsid w:val="005A0265"/>
    <w:rsid w:val="005A202B"/>
    <w:rsid w:val="006214FB"/>
    <w:rsid w:val="00662613"/>
    <w:rsid w:val="006629E7"/>
    <w:rsid w:val="006816A9"/>
    <w:rsid w:val="006A2345"/>
    <w:rsid w:val="006A5CBD"/>
    <w:rsid w:val="0072750D"/>
    <w:rsid w:val="00744EF3"/>
    <w:rsid w:val="00754443"/>
    <w:rsid w:val="00756F77"/>
    <w:rsid w:val="007611A3"/>
    <w:rsid w:val="007C13C2"/>
    <w:rsid w:val="007D5630"/>
    <w:rsid w:val="00802806"/>
    <w:rsid w:val="008360B2"/>
    <w:rsid w:val="00842B5E"/>
    <w:rsid w:val="00846E9E"/>
    <w:rsid w:val="00950034"/>
    <w:rsid w:val="009B4A72"/>
    <w:rsid w:val="009F6052"/>
    <w:rsid w:val="00A07EE5"/>
    <w:rsid w:val="00A34B1E"/>
    <w:rsid w:val="00A47DE6"/>
    <w:rsid w:val="00A52FCD"/>
    <w:rsid w:val="00A714BD"/>
    <w:rsid w:val="00A82CE0"/>
    <w:rsid w:val="00AA6CAB"/>
    <w:rsid w:val="00AB765E"/>
    <w:rsid w:val="00B050A1"/>
    <w:rsid w:val="00B25E9E"/>
    <w:rsid w:val="00B42878"/>
    <w:rsid w:val="00B6718B"/>
    <w:rsid w:val="00B75BB6"/>
    <w:rsid w:val="00BA0A57"/>
    <w:rsid w:val="00BA29C1"/>
    <w:rsid w:val="00BB7BD9"/>
    <w:rsid w:val="00BD6A3B"/>
    <w:rsid w:val="00C030D5"/>
    <w:rsid w:val="00C21B7A"/>
    <w:rsid w:val="00C21D75"/>
    <w:rsid w:val="00C3451F"/>
    <w:rsid w:val="00C7476A"/>
    <w:rsid w:val="00C85CB1"/>
    <w:rsid w:val="00CC7DBA"/>
    <w:rsid w:val="00D2700F"/>
    <w:rsid w:val="00D30F1F"/>
    <w:rsid w:val="00D33920"/>
    <w:rsid w:val="00D66649"/>
    <w:rsid w:val="00D73E59"/>
    <w:rsid w:val="00D83828"/>
    <w:rsid w:val="00D93F92"/>
    <w:rsid w:val="00D97EC0"/>
    <w:rsid w:val="00DF0E62"/>
    <w:rsid w:val="00DF4124"/>
    <w:rsid w:val="00E03CF5"/>
    <w:rsid w:val="00E068A2"/>
    <w:rsid w:val="00E61774"/>
    <w:rsid w:val="00E64AA4"/>
    <w:rsid w:val="00E93151"/>
    <w:rsid w:val="00EA7F5C"/>
    <w:rsid w:val="00EB0655"/>
    <w:rsid w:val="00EB34D4"/>
    <w:rsid w:val="00EB4C75"/>
    <w:rsid w:val="00EB7205"/>
    <w:rsid w:val="00F140FD"/>
    <w:rsid w:val="00F400C7"/>
    <w:rsid w:val="00F43B93"/>
    <w:rsid w:val="00FE3393"/>
    <w:rsid w:val="00FE5C66"/>
    <w:rsid w:val="00FF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semiHidden/>
    <w:rsid w:val="00B6718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val="es-ES" w:eastAsia="zh-CN"/>
    </w:rPr>
  </w:style>
  <w:style w:type="character" w:customStyle="1" w:styleId="EncabezadoCar">
    <w:name w:val="Encabezado Car"/>
    <w:basedOn w:val="Fuentedeprrafopredeter"/>
    <w:link w:val="Encabezado"/>
    <w:semiHidden/>
    <w:rsid w:val="00B6718B"/>
    <w:rPr>
      <w:rFonts w:ascii="Times New Roman" w:eastAsia="Times New Roman" w:hAnsi="Times New Roman" w:cs="Times New Roman"/>
      <w:b/>
      <w:bCs/>
      <w:sz w:val="36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uiPriority w:val="99"/>
    <w:unhideWhenUsed/>
    <w:rsid w:val="00B6718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718B"/>
  </w:style>
  <w:style w:type="table" w:styleId="Tablaconcuadrcula">
    <w:name w:val="Table Grid"/>
    <w:basedOn w:val="Tablanormal"/>
    <w:uiPriority w:val="59"/>
    <w:rsid w:val="00356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B4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C7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43BC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214FB"/>
    <w:pPr>
      <w:ind w:left="720"/>
      <w:contextualSpacing/>
    </w:pPr>
    <w:rPr>
      <w:rFonts w:eastAsia="Times New Roman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semiHidden/>
    <w:rsid w:val="00B6718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val="es-ES" w:eastAsia="zh-CN"/>
    </w:rPr>
  </w:style>
  <w:style w:type="character" w:customStyle="1" w:styleId="EncabezadoCar">
    <w:name w:val="Encabezado Car"/>
    <w:basedOn w:val="Fuentedeprrafopredeter"/>
    <w:link w:val="Encabezado"/>
    <w:semiHidden/>
    <w:rsid w:val="00B6718B"/>
    <w:rPr>
      <w:rFonts w:ascii="Times New Roman" w:eastAsia="Times New Roman" w:hAnsi="Times New Roman" w:cs="Times New Roman"/>
      <w:b/>
      <w:bCs/>
      <w:sz w:val="36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uiPriority w:val="99"/>
    <w:unhideWhenUsed/>
    <w:rsid w:val="00B6718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718B"/>
  </w:style>
  <w:style w:type="table" w:styleId="Tablaconcuadrcula">
    <w:name w:val="Table Grid"/>
    <w:basedOn w:val="Tablanormal"/>
    <w:uiPriority w:val="59"/>
    <w:rsid w:val="00356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B4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C7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43BC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214FB"/>
    <w:pPr>
      <w:ind w:left="720"/>
      <w:contextualSpacing/>
    </w:pPr>
    <w:rPr>
      <w:rFonts w:eastAsia="Times New Roman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88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316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1416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del Carmen Rodas Amaya de Chávez</dc:creator>
  <cp:lastModifiedBy>Rossana Cristina Perez  Gonzalez</cp:lastModifiedBy>
  <cp:revision>4</cp:revision>
  <dcterms:created xsi:type="dcterms:W3CDTF">2016-05-20T19:35:00Z</dcterms:created>
  <dcterms:modified xsi:type="dcterms:W3CDTF">2016-05-20T19:39:00Z</dcterms:modified>
</cp:coreProperties>
</file>