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482B" w14:textId="29F127B0" w:rsidR="00825C06" w:rsidRDefault="00825C06" w:rsidP="00825C06">
      <w:pPr>
        <w:spacing w:after="0" w:line="240" w:lineRule="auto"/>
        <w:jc w:val="center"/>
        <w:rPr>
          <w:b/>
          <w:sz w:val="24"/>
          <w:szCs w:val="24"/>
        </w:rPr>
      </w:pPr>
      <w:r>
        <w:rPr>
          <w:noProof/>
        </w:rPr>
        <w:drawing>
          <wp:anchor distT="0" distB="0" distL="0" distR="0" simplePos="0" relativeHeight="251661312" behindDoc="0" locked="0" layoutInCell="1" allowOverlap="1" wp14:anchorId="44036D6A" wp14:editId="1B87205C">
            <wp:simplePos x="0" y="0"/>
            <wp:positionH relativeFrom="column">
              <wp:posOffset>161925</wp:posOffset>
            </wp:positionH>
            <wp:positionV relativeFrom="paragraph">
              <wp:posOffset>54610</wp:posOffset>
            </wp:positionV>
            <wp:extent cx="2068830" cy="1033780"/>
            <wp:effectExtent l="0" t="0" r="0" b="0"/>
            <wp:wrapSquare wrapText="largest"/>
            <wp:docPr id="1387809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3014874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Hlk61352024"/>
    </w:p>
    <w:p w14:paraId="21C8951B" w14:textId="77777777" w:rsidR="00825C06" w:rsidRDefault="00825C06" w:rsidP="00825C06">
      <w:pPr>
        <w:spacing w:after="0" w:line="240" w:lineRule="auto"/>
        <w:jc w:val="center"/>
        <w:rPr>
          <w:b/>
          <w:sz w:val="24"/>
          <w:szCs w:val="24"/>
        </w:rPr>
      </w:pPr>
    </w:p>
    <w:p w14:paraId="270CED79" w14:textId="77777777" w:rsidR="00825C06" w:rsidRDefault="00825C06" w:rsidP="00825C06">
      <w:pPr>
        <w:spacing w:after="0" w:line="240" w:lineRule="auto"/>
        <w:jc w:val="center"/>
        <w:rPr>
          <w:b/>
          <w:sz w:val="20"/>
          <w:szCs w:val="20"/>
        </w:rPr>
      </w:pPr>
    </w:p>
    <w:p w14:paraId="35FF0B6E" w14:textId="77777777" w:rsidR="00825C06" w:rsidRDefault="00825C06" w:rsidP="00825C06">
      <w:pPr>
        <w:spacing w:after="0" w:line="240" w:lineRule="auto"/>
        <w:jc w:val="center"/>
        <w:rPr>
          <w:b/>
          <w:sz w:val="20"/>
          <w:szCs w:val="20"/>
        </w:rPr>
      </w:pPr>
    </w:p>
    <w:p w14:paraId="146657F3" w14:textId="77777777" w:rsidR="00825C06" w:rsidRDefault="00825C06" w:rsidP="00825C06">
      <w:pPr>
        <w:spacing w:after="0" w:line="240" w:lineRule="auto"/>
        <w:jc w:val="center"/>
        <w:rPr>
          <w:b/>
          <w:sz w:val="20"/>
          <w:szCs w:val="20"/>
        </w:rPr>
      </w:pPr>
    </w:p>
    <w:p w14:paraId="3548C8B7" w14:textId="77777777" w:rsidR="00825C06" w:rsidRDefault="00825C06" w:rsidP="00825C06">
      <w:pPr>
        <w:spacing w:after="0" w:line="240" w:lineRule="auto"/>
        <w:jc w:val="center"/>
        <w:rPr>
          <w:b/>
          <w:sz w:val="20"/>
          <w:szCs w:val="20"/>
        </w:rPr>
      </w:pPr>
    </w:p>
    <w:p w14:paraId="4448DA3D" w14:textId="77777777" w:rsidR="00825C06" w:rsidRDefault="00825C06" w:rsidP="00825C06">
      <w:pPr>
        <w:spacing w:after="0" w:line="240" w:lineRule="auto"/>
        <w:jc w:val="center"/>
        <w:rPr>
          <w:b/>
          <w:sz w:val="20"/>
          <w:szCs w:val="20"/>
        </w:rPr>
      </w:pPr>
    </w:p>
    <w:p w14:paraId="39E9341F" w14:textId="77777777" w:rsidR="00825C06" w:rsidRDefault="00825C06" w:rsidP="00825C06">
      <w:pPr>
        <w:spacing w:after="0" w:line="240" w:lineRule="auto"/>
        <w:jc w:val="center"/>
        <w:rPr>
          <w:b/>
          <w:sz w:val="28"/>
          <w:szCs w:val="28"/>
        </w:rPr>
      </w:pPr>
    </w:p>
    <w:p w14:paraId="42815A8F" w14:textId="77777777" w:rsidR="00825C06" w:rsidRDefault="00825C06" w:rsidP="00825C06">
      <w:pPr>
        <w:spacing w:after="0" w:line="240" w:lineRule="auto"/>
        <w:jc w:val="center"/>
        <w:rPr>
          <w:b/>
          <w:sz w:val="26"/>
          <w:szCs w:val="26"/>
        </w:rPr>
      </w:pPr>
      <w:r>
        <w:rPr>
          <w:b/>
          <w:sz w:val="26"/>
          <w:szCs w:val="26"/>
        </w:rPr>
        <w:t>HOSPITAL NACIONAL “DR. JORGE MAZZINI VILLACORTA” SONSONATE</w:t>
      </w:r>
    </w:p>
    <w:p w14:paraId="777BFCDB" w14:textId="77777777" w:rsidR="00825C06" w:rsidRDefault="00825C06" w:rsidP="00825C06">
      <w:pPr>
        <w:spacing w:after="0" w:line="240" w:lineRule="auto"/>
        <w:jc w:val="center"/>
        <w:rPr>
          <w:b/>
          <w:sz w:val="24"/>
          <w:szCs w:val="24"/>
        </w:rPr>
      </w:pPr>
      <w:r>
        <w:rPr>
          <w:b/>
          <w:sz w:val="24"/>
          <w:szCs w:val="24"/>
        </w:rPr>
        <w:t>Calle Alberto Masferrer Poniente No. 3-1 Sonsonate</w:t>
      </w:r>
    </w:p>
    <w:p w14:paraId="6AA066C0" w14:textId="77777777" w:rsidR="00825C06" w:rsidRDefault="00825C06" w:rsidP="00825C06">
      <w:pPr>
        <w:spacing w:after="0" w:line="240" w:lineRule="auto"/>
        <w:jc w:val="center"/>
        <w:rPr>
          <w:sz w:val="24"/>
          <w:szCs w:val="24"/>
        </w:rPr>
      </w:pPr>
      <w:r>
        <w:rPr>
          <w:b/>
          <w:sz w:val="24"/>
          <w:szCs w:val="24"/>
        </w:rPr>
        <w:t>Teléfonos 28916509 - 28916511</w:t>
      </w:r>
    </w:p>
    <w:p w14:paraId="2692C412" w14:textId="77777777" w:rsidR="00825C06" w:rsidRDefault="00825C06" w:rsidP="00825C06">
      <w:pPr>
        <w:spacing w:after="0" w:line="240" w:lineRule="auto"/>
        <w:jc w:val="center"/>
        <w:rPr>
          <w:b/>
          <w:sz w:val="24"/>
          <w:szCs w:val="24"/>
        </w:rPr>
      </w:pPr>
    </w:p>
    <w:p w14:paraId="6778A4BA" w14:textId="77777777" w:rsidR="00825C06" w:rsidRDefault="00825C06" w:rsidP="00825C06">
      <w:pPr>
        <w:spacing w:after="0" w:line="240" w:lineRule="auto"/>
        <w:jc w:val="center"/>
        <w:rPr>
          <w:b/>
          <w:sz w:val="24"/>
          <w:szCs w:val="24"/>
        </w:rPr>
      </w:pPr>
    </w:p>
    <w:p w14:paraId="1A546AA2" w14:textId="77777777" w:rsidR="00825C06" w:rsidRDefault="00825C06" w:rsidP="00825C06">
      <w:pPr>
        <w:spacing w:after="0" w:line="240" w:lineRule="auto"/>
        <w:jc w:val="center"/>
        <w:rPr>
          <w:b/>
          <w:sz w:val="24"/>
          <w:szCs w:val="24"/>
        </w:rPr>
      </w:pPr>
    </w:p>
    <w:p w14:paraId="338B9461" w14:textId="77777777" w:rsidR="00825C06" w:rsidRDefault="00825C06" w:rsidP="00825C06">
      <w:pPr>
        <w:spacing w:after="0" w:line="240" w:lineRule="auto"/>
        <w:jc w:val="center"/>
        <w:rPr>
          <w:b/>
          <w:sz w:val="24"/>
          <w:szCs w:val="24"/>
        </w:rPr>
      </w:pPr>
    </w:p>
    <w:p w14:paraId="0CC82AAD" w14:textId="77777777" w:rsidR="00825C06" w:rsidRDefault="00825C06" w:rsidP="00825C06">
      <w:pPr>
        <w:spacing w:line="360" w:lineRule="auto"/>
        <w:jc w:val="center"/>
      </w:pPr>
      <w:r>
        <w:rPr>
          <w:rFonts w:ascii="Arial Black" w:eastAsia="Arial Unicode MS" w:hAnsi="Arial Black" w:cs="Arial Black"/>
          <w:b/>
          <w:bCs/>
          <w:sz w:val="40"/>
          <w:szCs w:val="40"/>
        </w:rPr>
        <w:t>VERSIÓN PÚBLICA</w:t>
      </w:r>
    </w:p>
    <w:p w14:paraId="7619F5BA" w14:textId="77777777" w:rsidR="00825C06" w:rsidRDefault="00825C06" w:rsidP="00825C06">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5CF4DA54" w14:textId="77777777" w:rsidR="00825C06" w:rsidRDefault="00825C06" w:rsidP="00825C06">
      <w:pPr>
        <w:spacing w:line="360" w:lineRule="auto"/>
        <w:jc w:val="both"/>
        <w:rPr>
          <w:rFonts w:ascii="Century Gothic" w:hAnsi="Century Gothic" w:cs="Century Gothic"/>
          <w:bCs/>
          <w:sz w:val="24"/>
          <w:szCs w:val="24"/>
        </w:rPr>
      </w:pPr>
    </w:p>
    <w:p w14:paraId="3868A8CD" w14:textId="77777777" w:rsidR="00825C06" w:rsidRDefault="00825C06" w:rsidP="00825C06">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4"/>
          <w:szCs w:val="24"/>
        </w:rPr>
        <w:t>También se ha incorporado al documento la página escaneada con las firmas y sellos de las personas naturales firmantes para la legalidad del documento.</w:t>
      </w:r>
      <w:bookmarkEnd w:id="0"/>
    </w:p>
    <w:p w14:paraId="2220839C" w14:textId="7BA16C6E" w:rsidR="00825C06" w:rsidRDefault="00825C06" w:rsidP="00825C06">
      <w:pPr>
        <w:spacing w:line="360" w:lineRule="auto"/>
        <w:jc w:val="both"/>
        <w:rPr>
          <w:rFonts w:ascii="Century Gothic" w:hAnsi="Century Gothic" w:cs="Century Gothic"/>
          <w:bCs/>
          <w:sz w:val="24"/>
          <w:szCs w:val="24"/>
        </w:rPr>
      </w:pPr>
      <w:r>
        <w:rPr>
          <w:noProof/>
        </w:rPr>
        <w:drawing>
          <wp:anchor distT="0" distB="0" distL="114300" distR="114300" simplePos="0" relativeHeight="251662336" behindDoc="1" locked="0" layoutInCell="1" allowOverlap="1" wp14:anchorId="5289434A" wp14:editId="3E2A6640">
            <wp:simplePos x="0" y="0"/>
            <wp:positionH relativeFrom="column">
              <wp:posOffset>1186815</wp:posOffset>
            </wp:positionH>
            <wp:positionV relativeFrom="paragraph">
              <wp:posOffset>384810</wp:posOffset>
            </wp:positionV>
            <wp:extent cx="2628900" cy="1038225"/>
            <wp:effectExtent l="0" t="0" r="0" b="0"/>
            <wp:wrapNone/>
            <wp:docPr id="489318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465C7EB" w14:textId="77777777" w:rsidR="00825C06" w:rsidRDefault="00825C06" w:rsidP="00825C06"/>
    <w:p w14:paraId="5FB370D0" w14:textId="77777777" w:rsidR="00825C06" w:rsidRDefault="00825C06" w:rsidP="00825C06"/>
    <w:p w14:paraId="01FBD1BB" w14:textId="77777777" w:rsidR="00825C06" w:rsidRDefault="00825C06" w:rsidP="00825C06"/>
    <w:p w14:paraId="34A99135" w14:textId="77777777" w:rsidR="00825C06" w:rsidRDefault="00825C06" w:rsidP="00825C06"/>
    <w:p w14:paraId="566A8F33" w14:textId="77777777" w:rsidR="00825C06" w:rsidRDefault="00825C06"/>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936"/>
        <w:gridCol w:w="3546"/>
        <w:gridCol w:w="967"/>
      </w:tblGrid>
      <w:tr w:rsidR="00705F80" w:rsidRPr="00705F80" w14:paraId="6B8AB9C6" w14:textId="77777777" w:rsidTr="00705F80">
        <w:trPr>
          <w:gridAfter w:val="1"/>
          <w:wAfter w:w="572"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5CC0DA9"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6B4907F1" wp14:editId="6BC28BFA">
                  <wp:extent cx="381000" cy="381000"/>
                  <wp:effectExtent l="19050" t="0" r="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7"/>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034FAEA"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Times New Roman" w:eastAsia="Times New Roman" w:hAnsi="Times New Roman" w:cs="Times New Roman"/>
                <w:b/>
                <w:bCs/>
                <w:sz w:val="24"/>
                <w:szCs w:val="24"/>
                <w:lang w:eastAsia="es-ES"/>
              </w:rPr>
              <w:t>GOBIERNO DE EL SALVADOR</w:t>
            </w:r>
          </w:p>
        </w:tc>
      </w:tr>
      <w:tr w:rsidR="00705F80" w:rsidRPr="00705F80" w14:paraId="7CB7B69E" w14:textId="77777777" w:rsidTr="00825C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405C7CE"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CCF12D0"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5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F117B66"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PREVISION NO:202</w:t>
            </w:r>
          </w:p>
        </w:tc>
      </w:tr>
      <w:tr w:rsidR="00705F80" w:rsidRPr="00705F80" w14:paraId="7ED4671E" w14:textId="77777777" w:rsidTr="00705F80">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EE5BEF0"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705F80">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EDADAA0"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D01F301"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r w:rsidR="00705F80" w:rsidRPr="00705F80" w14:paraId="6E01796F" w14:textId="77777777" w:rsidTr="00705F80">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584F08C"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80CEE12"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315FFC2"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bl>
    <w:p w14:paraId="499C8DDC"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449"/>
      </w:tblGrid>
      <w:tr w:rsidR="00705F80" w:rsidRPr="00705F80" w14:paraId="5CE994B7"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15FB188D"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27"/>
                <w:szCs w:val="27"/>
                <w:lang w:eastAsia="es-ES"/>
              </w:rPr>
              <w:t>ORDEN DE COMPRA DE BIENES Y SERVICIOS</w:t>
            </w:r>
          </w:p>
        </w:tc>
      </w:tr>
    </w:tbl>
    <w:p w14:paraId="07FB12DD"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72"/>
        <w:gridCol w:w="5270"/>
        <w:gridCol w:w="1907"/>
      </w:tblGrid>
      <w:tr w:rsidR="00705F80" w:rsidRPr="00705F80" w14:paraId="3C4EA1B6" w14:textId="77777777" w:rsidTr="00705F80">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0F6EB8"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1758CB"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Times New Roman" w:eastAsia="Times New Roman" w:hAnsi="Times New Roman" w:cs="Times New Roman"/>
                <w:b/>
                <w:bCs/>
                <w:sz w:val="24"/>
                <w:szCs w:val="24"/>
                <w:lang w:eastAsia="es-ES"/>
              </w:rPr>
              <w:t>Sonsonate 13 de Noviembre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B63651"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color w:val="FF0000"/>
                <w:sz w:val="20"/>
                <w:szCs w:val="20"/>
                <w:lang w:eastAsia="es-ES"/>
              </w:rPr>
              <w:t>No.Orden:276/2023</w:t>
            </w:r>
          </w:p>
        </w:tc>
      </w:tr>
    </w:tbl>
    <w:p w14:paraId="2F9E8654"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736"/>
        <w:gridCol w:w="1713"/>
      </w:tblGrid>
      <w:tr w:rsidR="00705F80" w:rsidRPr="00705F80" w14:paraId="24CE173A" w14:textId="77777777" w:rsidTr="00705F80">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941BBB"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F8BF42"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p>
        </w:tc>
      </w:tr>
      <w:tr w:rsidR="00705F80" w:rsidRPr="00705F80" w14:paraId="49F20DBA"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5DD428"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Times New Roman" w:eastAsia="Times New Roman" w:hAnsi="Times New Roman" w:cs="Times New Roman"/>
                <w:sz w:val="24"/>
                <w:szCs w:val="24"/>
                <w:lang w:eastAsia="es-ES"/>
              </w:rPr>
              <w:t>NIPRO MEDICAL CORPORATION SUC. EL SALVADOR</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A0ABF7"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p>
        </w:tc>
      </w:tr>
    </w:tbl>
    <w:p w14:paraId="66058118"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46"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41"/>
        <w:gridCol w:w="1009"/>
        <w:gridCol w:w="4538"/>
        <w:gridCol w:w="1008"/>
        <w:gridCol w:w="1008"/>
      </w:tblGrid>
      <w:tr w:rsidR="00705F80" w:rsidRPr="00705F80" w14:paraId="6B0CF2F9" w14:textId="77777777" w:rsidTr="00705F80">
        <w:trPr>
          <w:trHeight w:val="185"/>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365E77"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D2F8E2"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A2E778"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96B99E"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5B9FC4"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b/>
                <w:bCs/>
                <w:color w:val="000000"/>
                <w:sz w:val="15"/>
                <w:szCs w:val="15"/>
                <w:lang w:eastAsia="es-ES"/>
              </w:rPr>
              <w:t>VALOR</w:t>
            </w:r>
          </w:p>
        </w:tc>
      </w:tr>
      <w:tr w:rsidR="00705F80" w:rsidRPr="00705F80" w14:paraId="3FB5EA34" w14:textId="77777777" w:rsidTr="00705F80">
        <w:trPr>
          <w:trHeight w:val="148"/>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D23350"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0783D1"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58B73A"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79FECB"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30799A"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TOTAL</w:t>
            </w:r>
          </w:p>
        </w:tc>
      </w:tr>
      <w:tr w:rsidR="00705F80" w:rsidRPr="00705F80" w14:paraId="444CCD3E" w14:textId="77777777" w:rsidTr="00705F80">
        <w:trPr>
          <w:trHeight w:val="355"/>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E69DE3"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43F4DD"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C15B599"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u w:val="single"/>
                <w:lang w:eastAsia="es-ES"/>
              </w:rPr>
              <w:t>LINEA:0202 Atención Hospitalaria--</w:t>
            </w:r>
            <w:r w:rsidRPr="00705F80">
              <w:rPr>
                <w:rFonts w:ascii="Arial" w:eastAsia="Times New Roman" w:hAnsi="Arial" w:cs="Arial"/>
                <w:color w:val="000000"/>
                <w:sz w:val="15"/>
                <w:szCs w:val="15"/>
                <w:lang w:eastAsia="es-ES"/>
              </w:rPr>
              <w:t>LABORATORIO F.F.1 FONDO GENERAL REFUERZO RESOLUCION N° 318</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E49D53"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7464D4"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r>
      <w:tr w:rsidR="00705F80" w:rsidRPr="00705F80" w14:paraId="0E4BB5E1" w14:textId="77777777" w:rsidTr="00705F80">
        <w:trPr>
          <w:trHeight w:val="336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6A8E27"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200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DC44B5"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44CC17"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R/37 CODIGO: 30503050 ESPECIFICO: 54107 SOLICITA: 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 CON FECHA DE VENCIMIENTO MININA DE 12 MESES. OFRECE: Bolsa cuadruple de plastico flexible, esquina redondeada para recoleccion de sangre al con anticoagulante CPD, mas solucion aditiva que preserve los globulos rojos por 42 días, con aguja inviolable, siliconeada de pared ultradelgada, calibre 16 G x 1 1/2 pulgadas tubuladura codificadas para fraccionamiento semiatomatizado, con sistema para derivar los primeros 10mililitros del donante y leucorreduccion del 80-90% en los hemoderivados, con su respectivo descartable.</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565D68" w14:textId="77777777" w:rsidR="00705F80" w:rsidRPr="00705F80" w:rsidRDefault="00705F80" w:rsidP="00705F80">
            <w:pPr>
              <w:spacing w:after="0" w:line="240" w:lineRule="auto"/>
              <w:jc w:val="right"/>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$11.50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4A2A75" w14:textId="77777777" w:rsidR="00705F80" w:rsidRPr="00705F80" w:rsidRDefault="00705F80" w:rsidP="00705F80">
            <w:pPr>
              <w:spacing w:after="0" w:line="240" w:lineRule="auto"/>
              <w:jc w:val="right"/>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$2,300.00</w:t>
            </w:r>
          </w:p>
        </w:tc>
      </w:tr>
      <w:tr w:rsidR="00705F80" w:rsidRPr="00705F80" w14:paraId="096D38FC" w14:textId="77777777" w:rsidTr="00705F80">
        <w:trPr>
          <w:trHeight w:val="247"/>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8D3762"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925863"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5580C4"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39BEE3"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5CE294" w14:textId="77777777" w:rsidR="00705F80" w:rsidRPr="00705F80" w:rsidRDefault="00705F80" w:rsidP="00705F80">
            <w:pPr>
              <w:spacing w:after="0" w:line="240" w:lineRule="auto"/>
              <w:jc w:val="right"/>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$2,300.00</w:t>
            </w:r>
          </w:p>
        </w:tc>
      </w:tr>
    </w:tbl>
    <w:p w14:paraId="3E2FE0A2"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449"/>
      </w:tblGrid>
      <w:tr w:rsidR="00705F80" w:rsidRPr="00705F80" w14:paraId="4352BAE4"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C96C76"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SON: </w:t>
            </w:r>
            <w:r w:rsidRPr="00705F80">
              <w:rPr>
                <w:rFonts w:ascii="Arial" w:eastAsia="Times New Roman" w:hAnsi="Arial" w:cs="Arial"/>
                <w:b/>
                <w:bCs/>
                <w:color w:val="000000"/>
                <w:sz w:val="15"/>
                <w:szCs w:val="15"/>
                <w:lang w:eastAsia="es-ES"/>
              </w:rPr>
              <w:t>dos mil trescientos 00/100 dolares</w:t>
            </w:r>
          </w:p>
        </w:tc>
      </w:tr>
      <w:tr w:rsidR="00705F80" w:rsidRPr="00705F80" w14:paraId="2B0D7050"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D8965E"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r w:rsidR="00705F80" w:rsidRPr="00705F80" w14:paraId="68DD8420"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9A7093"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LUGAR DE ENTREGA:EL ALMACÉN DEL HOSPITAL NACIONAL DR. JORGE MAZZINI VILLACORTA SONSONATE, TIEMPO DE ENTREGA 20-30 DÍAS HÁBILES DESPUÉS DE RECIBIDO ORDEN DE COMPRA</w:t>
            </w:r>
          </w:p>
        </w:tc>
      </w:tr>
      <w:tr w:rsidR="00705F80" w:rsidRPr="00705F80" w14:paraId="7125F9AF"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22BFD5"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r w:rsidR="00705F80" w:rsidRPr="00705F80" w14:paraId="71749AD0"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E8AE53"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bl>
    <w:p w14:paraId="216416A6" w14:textId="77777777" w:rsidR="00705F80" w:rsidRPr="00705F80" w:rsidRDefault="00705F80" w:rsidP="00705F80">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18"/>
        <w:gridCol w:w="531"/>
      </w:tblGrid>
      <w:tr w:rsidR="00705F80" w:rsidRPr="00705F80" w14:paraId="339D2D2B"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C5A62A"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845428"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r w:rsidR="00705F80" w:rsidRPr="00705F80" w14:paraId="40E9E1B7"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DA8BA9"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2C9F58"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r>
      <w:tr w:rsidR="00705F80" w:rsidRPr="00705F80" w14:paraId="3A152FFF"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84EEF0" w14:textId="77777777" w:rsidR="00705F80" w:rsidRPr="00705F80" w:rsidRDefault="00705F80" w:rsidP="00705F80">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14:paraId="71CF55A3" w14:textId="77777777" w:rsidR="00705F80" w:rsidRPr="00705F80" w:rsidRDefault="00705F80" w:rsidP="00705F80">
            <w:pPr>
              <w:spacing w:after="0" w:line="240" w:lineRule="auto"/>
              <w:rPr>
                <w:rFonts w:ascii="Times New Roman" w:eastAsia="Times New Roman" w:hAnsi="Times New Roman" w:cs="Times New Roman"/>
                <w:sz w:val="20"/>
                <w:szCs w:val="20"/>
                <w:lang w:eastAsia="es-ES"/>
              </w:rPr>
            </w:pPr>
          </w:p>
        </w:tc>
      </w:tr>
      <w:tr w:rsidR="00705F80" w:rsidRPr="00705F80" w14:paraId="56834639" w14:textId="77777777" w:rsidTr="00705F8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DF251F" w14:textId="77777777" w:rsidR="00705F80" w:rsidRDefault="00D04496" w:rsidP="00705F8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2180F786" wp14:editId="6BA49356">
                  <wp:simplePos x="0" y="0"/>
                  <wp:positionH relativeFrom="column">
                    <wp:posOffset>1715135</wp:posOffset>
                  </wp:positionH>
                  <wp:positionV relativeFrom="paragraph">
                    <wp:posOffset>83820</wp:posOffset>
                  </wp:positionV>
                  <wp:extent cx="1504950" cy="981075"/>
                  <wp:effectExtent l="19050" t="0" r="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04950" cy="981075"/>
                          </a:xfrm>
                          <a:prstGeom prst="rect">
                            <a:avLst/>
                          </a:prstGeom>
                          <a:noFill/>
                          <a:ln w="9525">
                            <a:noFill/>
                            <a:miter lim="800000"/>
                            <a:headEnd/>
                            <a:tailEnd/>
                          </a:ln>
                        </pic:spPr>
                      </pic:pic>
                    </a:graphicData>
                  </a:graphic>
                </wp:anchor>
              </w:drawing>
            </w:r>
            <w:r w:rsidR="00705F80" w:rsidRPr="00705F80">
              <w:rPr>
                <w:rFonts w:ascii="Times New Roman" w:eastAsia="Times New Roman" w:hAnsi="Times New Roman" w:cs="Times New Roman"/>
                <w:sz w:val="24"/>
                <w:szCs w:val="24"/>
                <w:lang w:eastAsia="es-ES"/>
              </w:rPr>
              <w:br/>
            </w:r>
            <w:r w:rsidR="00705F80" w:rsidRPr="00705F80">
              <w:rPr>
                <w:rFonts w:ascii="Times New Roman" w:eastAsia="Times New Roman" w:hAnsi="Times New Roman" w:cs="Times New Roman"/>
                <w:sz w:val="24"/>
                <w:szCs w:val="24"/>
                <w:lang w:eastAsia="es-ES"/>
              </w:rPr>
              <w:br/>
            </w:r>
          </w:p>
          <w:p w14:paraId="60A00E25" w14:textId="77777777" w:rsidR="00705F80" w:rsidRDefault="00705F80" w:rsidP="00705F80">
            <w:pPr>
              <w:spacing w:after="0" w:line="240" w:lineRule="auto"/>
              <w:jc w:val="center"/>
              <w:rPr>
                <w:rFonts w:ascii="Times New Roman" w:eastAsia="Times New Roman" w:hAnsi="Times New Roman" w:cs="Times New Roman"/>
                <w:sz w:val="24"/>
                <w:szCs w:val="24"/>
                <w:lang w:eastAsia="es-ES"/>
              </w:rPr>
            </w:pPr>
          </w:p>
          <w:p w14:paraId="774B9341" w14:textId="77777777" w:rsidR="00705F80" w:rsidRDefault="00705F80" w:rsidP="00705F80">
            <w:pPr>
              <w:spacing w:after="0" w:line="240" w:lineRule="auto"/>
              <w:jc w:val="center"/>
              <w:rPr>
                <w:rFonts w:ascii="Times New Roman" w:eastAsia="Times New Roman" w:hAnsi="Times New Roman" w:cs="Times New Roman"/>
                <w:sz w:val="24"/>
                <w:szCs w:val="24"/>
                <w:lang w:eastAsia="es-ES"/>
              </w:rPr>
            </w:pPr>
          </w:p>
          <w:p w14:paraId="295D2172" w14:textId="77777777" w:rsidR="00D04496" w:rsidRDefault="00705F80" w:rsidP="00705F80">
            <w:pPr>
              <w:spacing w:after="0" w:line="240" w:lineRule="auto"/>
              <w:jc w:val="center"/>
              <w:rPr>
                <w:rFonts w:ascii="Arial" w:eastAsia="Times New Roman" w:hAnsi="Arial" w:cs="Arial"/>
                <w:color w:val="000000"/>
                <w:sz w:val="15"/>
                <w:szCs w:val="15"/>
                <w:lang w:eastAsia="es-ES"/>
              </w:rPr>
            </w:pPr>
            <w:r w:rsidRPr="00705F80">
              <w:rPr>
                <w:rFonts w:ascii="Times New Roman" w:eastAsia="Times New Roman" w:hAnsi="Times New Roman" w:cs="Times New Roman"/>
                <w:sz w:val="24"/>
                <w:szCs w:val="24"/>
                <w:lang w:eastAsia="es-ES"/>
              </w:rPr>
              <w:br/>
            </w:r>
          </w:p>
          <w:p w14:paraId="74D8DD90" w14:textId="77777777" w:rsidR="00D04496" w:rsidRDefault="00D04496" w:rsidP="00705F80">
            <w:pPr>
              <w:spacing w:after="0" w:line="240" w:lineRule="auto"/>
              <w:jc w:val="center"/>
              <w:rPr>
                <w:rFonts w:ascii="Arial" w:eastAsia="Times New Roman" w:hAnsi="Arial" w:cs="Arial"/>
                <w:color w:val="000000"/>
                <w:sz w:val="15"/>
                <w:szCs w:val="15"/>
                <w:lang w:eastAsia="es-ES"/>
              </w:rPr>
            </w:pPr>
          </w:p>
          <w:p w14:paraId="3EB8E4A2" w14:textId="77777777" w:rsidR="00D04496" w:rsidRDefault="00D04496" w:rsidP="00705F80">
            <w:pPr>
              <w:spacing w:after="0" w:line="240" w:lineRule="auto"/>
              <w:jc w:val="center"/>
              <w:rPr>
                <w:rFonts w:ascii="Arial" w:eastAsia="Times New Roman" w:hAnsi="Arial" w:cs="Arial"/>
                <w:color w:val="000000"/>
                <w:sz w:val="15"/>
                <w:szCs w:val="15"/>
                <w:lang w:eastAsia="es-ES"/>
              </w:rPr>
            </w:pPr>
          </w:p>
          <w:p w14:paraId="5627F67D" w14:textId="77777777" w:rsidR="00705F80" w:rsidRPr="00705F80" w:rsidRDefault="00705F80" w:rsidP="00705F80">
            <w:pPr>
              <w:spacing w:after="0" w:line="240" w:lineRule="auto"/>
              <w:jc w:val="center"/>
              <w:rPr>
                <w:rFonts w:ascii="Times New Roman" w:eastAsia="Times New Roman" w:hAnsi="Times New Roman" w:cs="Times New Roman"/>
                <w:sz w:val="24"/>
                <w:szCs w:val="24"/>
                <w:lang w:eastAsia="es-ES"/>
              </w:rPr>
            </w:pPr>
            <w:r w:rsidRPr="00705F80">
              <w:rPr>
                <w:rFonts w:ascii="Arial" w:eastAsia="Times New Roman" w:hAnsi="Arial" w:cs="Arial"/>
                <w:color w:val="000000"/>
                <w:sz w:val="15"/>
                <w:szCs w:val="15"/>
                <w:lang w:eastAsia="es-ES"/>
              </w:rPr>
              <w:t>___________________________</w:t>
            </w:r>
            <w:r w:rsidRPr="00705F80">
              <w:rPr>
                <w:rFonts w:ascii="Times New Roman" w:eastAsia="Times New Roman" w:hAnsi="Times New Roman" w:cs="Times New Roman"/>
                <w:sz w:val="24"/>
                <w:szCs w:val="24"/>
                <w:lang w:eastAsia="es-ES"/>
              </w:rPr>
              <w:br/>
            </w:r>
            <w:r w:rsidRPr="00705F80">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5627F8DE" w14:textId="77777777" w:rsidR="00705F80" w:rsidRPr="00705F80" w:rsidRDefault="00705F80" w:rsidP="00705F80">
            <w:pPr>
              <w:spacing w:after="0" w:line="240" w:lineRule="auto"/>
              <w:rPr>
                <w:rFonts w:ascii="Times New Roman" w:eastAsia="Times New Roman" w:hAnsi="Times New Roman" w:cs="Times New Roman"/>
                <w:sz w:val="20"/>
                <w:szCs w:val="20"/>
                <w:lang w:eastAsia="es-ES"/>
              </w:rPr>
            </w:pPr>
          </w:p>
        </w:tc>
      </w:tr>
    </w:tbl>
    <w:p w14:paraId="0529CFED" w14:textId="77777777" w:rsidR="00EC18E2" w:rsidRDefault="00EC18E2"/>
    <w:p w14:paraId="301A7B0F" w14:textId="77777777" w:rsidR="00705F80" w:rsidRDefault="00705F80" w:rsidP="00705F80">
      <w:pPr>
        <w:pStyle w:val="Textodenotaalfinal"/>
        <w:widowControl/>
        <w:jc w:val="center"/>
        <w:rPr>
          <w:rFonts w:asciiTheme="minorHAnsi" w:hAnsiTheme="minorHAnsi" w:cstheme="minorHAnsi"/>
          <w:b/>
          <w:sz w:val="18"/>
          <w:szCs w:val="18"/>
          <w:u w:val="single"/>
          <w:lang w:val="es-SV"/>
        </w:rPr>
      </w:pPr>
      <w:bookmarkStart w:id="4" w:name="_Hlk132200702"/>
      <w:bookmarkStart w:id="5" w:name="_Hlk139287632"/>
      <w:r w:rsidRPr="002842E5">
        <w:rPr>
          <w:rFonts w:asciiTheme="minorHAnsi" w:hAnsiTheme="minorHAnsi" w:cstheme="minorHAnsi"/>
          <w:b/>
          <w:sz w:val="18"/>
          <w:szCs w:val="18"/>
          <w:u w:val="single"/>
          <w:lang w:val="es-SV"/>
        </w:rPr>
        <w:lastRenderedPageBreak/>
        <w:t>CONDICIONES DEL SUMINISTRO</w:t>
      </w:r>
    </w:p>
    <w:p w14:paraId="02EFBEA0" w14:textId="77777777" w:rsidR="00705F80" w:rsidRPr="002842E5" w:rsidRDefault="00705F80" w:rsidP="00705F80">
      <w:pPr>
        <w:pStyle w:val="Textodenotaalfinal"/>
        <w:widowControl/>
        <w:jc w:val="center"/>
        <w:rPr>
          <w:rFonts w:asciiTheme="minorHAnsi" w:hAnsiTheme="minorHAnsi" w:cstheme="minorHAnsi"/>
          <w:b/>
          <w:sz w:val="18"/>
          <w:szCs w:val="18"/>
          <w:u w:val="single"/>
          <w:lang w:val="es-SV"/>
        </w:rPr>
      </w:pPr>
    </w:p>
    <w:p w14:paraId="4270C13D" w14:textId="77777777" w:rsidR="00705F80" w:rsidRPr="002842E5" w:rsidRDefault="00705F80" w:rsidP="00705F80">
      <w:pPr>
        <w:pStyle w:val="Textodenotaalfinal"/>
        <w:widowControl/>
        <w:rPr>
          <w:rFonts w:asciiTheme="minorHAnsi" w:hAnsiTheme="minorHAnsi" w:cstheme="minorHAnsi"/>
          <w:b/>
          <w:sz w:val="18"/>
          <w:szCs w:val="18"/>
          <w:u w:val="single"/>
          <w:lang w:val="es-SV"/>
        </w:rPr>
      </w:pPr>
    </w:p>
    <w:p w14:paraId="7AB21514" w14:textId="77777777" w:rsidR="00705F80" w:rsidRPr="002842E5" w:rsidRDefault="00705F80" w:rsidP="00705F80">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1CDFA1E5" w14:textId="77777777" w:rsidR="00705F80" w:rsidRPr="002842E5" w:rsidRDefault="00705F80" w:rsidP="00705F80">
      <w:pPr>
        <w:pStyle w:val="Textodenotaalfinal"/>
        <w:widowControl/>
        <w:ind w:left="360"/>
        <w:jc w:val="both"/>
        <w:rPr>
          <w:rFonts w:asciiTheme="minorHAnsi" w:hAnsiTheme="minorHAnsi" w:cstheme="minorHAnsi"/>
          <w:sz w:val="18"/>
          <w:szCs w:val="18"/>
          <w:lang w:val="es-SV"/>
        </w:rPr>
      </w:pPr>
    </w:p>
    <w:p w14:paraId="4A528AF5" w14:textId="77777777" w:rsidR="00705F80" w:rsidRPr="002842E5" w:rsidRDefault="00705F80" w:rsidP="00705F80">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5BA9BEC1" w14:textId="77777777" w:rsidR="00705F80" w:rsidRPr="002842E5" w:rsidRDefault="00705F80" w:rsidP="00705F80">
      <w:pPr>
        <w:pStyle w:val="Prrafodelista"/>
        <w:rPr>
          <w:rFonts w:asciiTheme="minorHAnsi" w:hAnsiTheme="minorHAnsi" w:cstheme="minorHAnsi"/>
          <w:sz w:val="18"/>
          <w:szCs w:val="18"/>
          <w:lang w:val="es-SV"/>
        </w:rPr>
      </w:pPr>
    </w:p>
    <w:p w14:paraId="1A07E595" w14:textId="77777777" w:rsidR="00705F80" w:rsidRPr="002842E5" w:rsidRDefault="00705F80" w:rsidP="00705F80">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3BFF3515" w14:textId="77777777" w:rsidR="00705F80" w:rsidRPr="002842E5" w:rsidRDefault="00705F80" w:rsidP="00705F80">
      <w:pPr>
        <w:pStyle w:val="Prrafodelista"/>
        <w:rPr>
          <w:rFonts w:asciiTheme="minorHAnsi" w:hAnsiTheme="minorHAnsi" w:cstheme="minorHAnsi"/>
          <w:sz w:val="18"/>
          <w:szCs w:val="18"/>
          <w:lang w:val="es-SV"/>
        </w:rPr>
      </w:pPr>
    </w:p>
    <w:p w14:paraId="48A44A0F" w14:textId="77777777" w:rsidR="00705F80" w:rsidRPr="002842E5" w:rsidRDefault="00705F80" w:rsidP="00705F80">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61B9FCB6" w14:textId="77777777" w:rsidR="00705F80" w:rsidRPr="002842E5" w:rsidRDefault="00705F80" w:rsidP="00705F80">
      <w:pPr>
        <w:pStyle w:val="Prrafodelista"/>
        <w:rPr>
          <w:rFonts w:asciiTheme="minorHAnsi" w:hAnsiTheme="minorHAnsi" w:cstheme="minorHAnsi"/>
          <w:sz w:val="18"/>
          <w:szCs w:val="18"/>
        </w:rPr>
      </w:pPr>
    </w:p>
    <w:p w14:paraId="3720B519" w14:textId="77777777" w:rsidR="00705F80" w:rsidRPr="002842E5" w:rsidRDefault="00705F80" w:rsidP="00705F80">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7CD057E5" w14:textId="77777777" w:rsidR="00705F80" w:rsidRPr="002842E5" w:rsidRDefault="00705F80" w:rsidP="00705F80">
      <w:pPr>
        <w:rPr>
          <w:rFonts w:cstheme="minorHAnsi"/>
          <w:sz w:val="18"/>
          <w:szCs w:val="18"/>
        </w:rPr>
      </w:pPr>
    </w:p>
    <w:p w14:paraId="5FC8E7E5" w14:textId="77777777" w:rsidR="00705F80" w:rsidRPr="002842E5" w:rsidRDefault="00705F80" w:rsidP="00705F80">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Lic. Vilma Gladys Cortez, y en ausencia Lic. Cristina Ivonne Ayala,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6630</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39753833" w14:textId="77777777" w:rsidR="00705F80" w:rsidRPr="002842E5" w:rsidRDefault="00705F80" w:rsidP="00705F80">
      <w:pPr>
        <w:pStyle w:val="Textodenotaalfinal"/>
        <w:widowControl/>
        <w:spacing w:line="360" w:lineRule="auto"/>
        <w:ind w:left="360"/>
        <w:jc w:val="both"/>
        <w:rPr>
          <w:rFonts w:asciiTheme="minorHAnsi" w:hAnsiTheme="minorHAnsi" w:cstheme="minorHAnsi"/>
          <w:sz w:val="18"/>
          <w:szCs w:val="18"/>
        </w:rPr>
      </w:pPr>
    </w:p>
    <w:p w14:paraId="60F9C79B" w14:textId="77777777" w:rsidR="00705F80" w:rsidRPr="002842E5" w:rsidRDefault="00705F80" w:rsidP="00705F80">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696B5F4C" w14:textId="77777777" w:rsidR="00705F80" w:rsidRPr="002842E5" w:rsidRDefault="00705F80" w:rsidP="00705F80">
      <w:pPr>
        <w:pStyle w:val="Prrafodelista"/>
        <w:rPr>
          <w:rFonts w:asciiTheme="minorHAnsi" w:hAnsiTheme="minorHAnsi" w:cstheme="minorHAnsi"/>
          <w:i/>
          <w:iCs/>
          <w:sz w:val="18"/>
          <w:szCs w:val="18"/>
        </w:rPr>
      </w:pPr>
    </w:p>
    <w:p w14:paraId="5733C637" w14:textId="77777777" w:rsidR="00705F80" w:rsidRPr="002842E5" w:rsidRDefault="00705F80" w:rsidP="00705F80">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848237D" w14:textId="77777777" w:rsidR="00705F80" w:rsidRPr="002842E5" w:rsidRDefault="00705F80" w:rsidP="00705F80">
      <w:pPr>
        <w:pStyle w:val="Prrafodelista"/>
        <w:rPr>
          <w:rFonts w:asciiTheme="minorHAnsi" w:hAnsiTheme="minorHAnsi" w:cstheme="minorHAnsi"/>
          <w:iCs/>
          <w:sz w:val="18"/>
          <w:szCs w:val="18"/>
        </w:rPr>
      </w:pPr>
    </w:p>
    <w:p w14:paraId="028667C0" w14:textId="77777777" w:rsidR="00705F80" w:rsidRPr="002842E5" w:rsidRDefault="00705F80" w:rsidP="00705F80">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4"/>
    <w:p w14:paraId="7946F59B" w14:textId="77777777" w:rsidR="00705F80" w:rsidRDefault="00705F80" w:rsidP="00705F80"/>
    <w:bookmarkEnd w:id="5"/>
    <w:p w14:paraId="324938BE" w14:textId="77777777" w:rsidR="00705F80" w:rsidRDefault="00705F80" w:rsidP="00705F80"/>
    <w:p w14:paraId="3E129E20" w14:textId="77777777" w:rsidR="00705F80" w:rsidRDefault="00705F80"/>
    <w:sectPr w:rsidR="00705F80" w:rsidSect="00705F80">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740565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05F80"/>
    <w:rsid w:val="00705F80"/>
    <w:rsid w:val="00825C06"/>
    <w:rsid w:val="00D04496"/>
    <w:rsid w:val="00EC1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6EC"/>
  <w15:docId w15:val="{F6BE67B2-7641-4223-A5C7-26803E3F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5F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F80"/>
    <w:rPr>
      <w:rFonts w:ascii="Tahoma" w:hAnsi="Tahoma" w:cs="Tahoma"/>
      <w:sz w:val="16"/>
      <w:szCs w:val="16"/>
    </w:rPr>
  </w:style>
  <w:style w:type="paragraph" w:styleId="Prrafodelista">
    <w:name w:val="List Paragraph"/>
    <w:basedOn w:val="Normal"/>
    <w:uiPriority w:val="34"/>
    <w:qFormat/>
    <w:rsid w:val="00705F80"/>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705F80"/>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2071">
      <w:bodyDiv w:val="1"/>
      <w:marLeft w:val="0"/>
      <w:marRight w:val="0"/>
      <w:marTop w:val="0"/>
      <w:marBottom w:val="0"/>
      <w:divBdr>
        <w:top w:val="none" w:sz="0" w:space="0" w:color="auto"/>
        <w:left w:val="none" w:sz="0" w:space="0" w:color="auto"/>
        <w:bottom w:val="none" w:sz="0" w:space="0" w:color="auto"/>
        <w:right w:val="none" w:sz="0" w:space="0" w:color="auto"/>
      </w:divBdr>
    </w:div>
    <w:div w:id="16944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5054</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3</cp:revision>
  <cp:lastPrinted>2023-11-09T15:22:00Z</cp:lastPrinted>
  <dcterms:created xsi:type="dcterms:W3CDTF">2023-11-09T15:21:00Z</dcterms:created>
  <dcterms:modified xsi:type="dcterms:W3CDTF">2023-12-08T23:31:00Z</dcterms:modified>
</cp:coreProperties>
</file>