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7E77" w14:textId="77777777" w:rsidR="00F915F1" w:rsidRDefault="00F915F1" w:rsidP="00F915F1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178ACC71" wp14:editId="42D1C74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57F8F" w14:textId="77777777" w:rsidR="00F915F1" w:rsidRDefault="00F915F1" w:rsidP="00F915F1">
      <w:pPr>
        <w:spacing w:after="0" w:line="240" w:lineRule="auto"/>
        <w:jc w:val="center"/>
        <w:rPr>
          <w:b/>
          <w:sz w:val="24"/>
          <w:szCs w:val="24"/>
        </w:rPr>
      </w:pPr>
    </w:p>
    <w:p w14:paraId="554B731B" w14:textId="77777777" w:rsidR="00F915F1" w:rsidRDefault="00F915F1" w:rsidP="00F915F1">
      <w:pPr>
        <w:spacing w:after="0" w:line="240" w:lineRule="auto"/>
        <w:jc w:val="center"/>
        <w:rPr>
          <w:b/>
          <w:sz w:val="20"/>
          <w:szCs w:val="20"/>
        </w:rPr>
      </w:pPr>
    </w:p>
    <w:p w14:paraId="4A8BAAD9" w14:textId="77777777" w:rsidR="00F915F1" w:rsidRDefault="00F915F1" w:rsidP="00F915F1">
      <w:pPr>
        <w:spacing w:after="0" w:line="240" w:lineRule="auto"/>
        <w:jc w:val="center"/>
        <w:rPr>
          <w:b/>
          <w:sz w:val="20"/>
          <w:szCs w:val="20"/>
        </w:rPr>
      </w:pPr>
    </w:p>
    <w:p w14:paraId="6B263114" w14:textId="77777777" w:rsidR="00F915F1" w:rsidRDefault="00F915F1" w:rsidP="00F915F1">
      <w:pPr>
        <w:spacing w:after="0" w:line="240" w:lineRule="auto"/>
        <w:jc w:val="center"/>
        <w:rPr>
          <w:b/>
          <w:sz w:val="20"/>
          <w:szCs w:val="20"/>
        </w:rPr>
      </w:pPr>
    </w:p>
    <w:p w14:paraId="3335BBD6" w14:textId="77777777" w:rsidR="00F915F1" w:rsidRDefault="00F915F1" w:rsidP="00F915F1">
      <w:pPr>
        <w:spacing w:after="0" w:line="240" w:lineRule="auto"/>
        <w:jc w:val="center"/>
        <w:rPr>
          <w:b/>
          <w:sz w:val="20"/>
          <w:szCs w:val="20"/>
        </w:rPr>
      </w:pPr>
    </w:p>
    <w:p w14:paraId="2F73C60D" w14:textId="77777777" w:rsidR="00F915F1" w:rsidRDefault="00F915F1" w:rsidP="00F915F1">
      <w:pPr>
        <w:spacing w:after="0" w:line="240" w:lineRule="auto"/>
        <w:jc w:val="center"/>
        <w:rPr>
          <w:b/>
          <w:sz w:val="20"/>
          <w:szCs w:val="20"/>
        </w:rPr>
      </w:pPr>
    </w:p>
    <w:p w14:paraId="0781BB3D" w14:textId="77777777" w:rsidR="00F915F1" w:rsidRDefault="00F915F1" w:rsidP="00F915F1">
      <w:pPr>
        <w:spacing w:after="0" w:line="240" w:lineRule="auto"/>
        <w:jc w:val="center"/>
        <w:rPr>
          <w:b/>
          <w:sz w:val="28"/>
          <w:szCs w:val="28"/>
        </w:rPr>
      </w:pPr>
    </w:p>
    <w:p w14:paraId="16F8D6D3" w14:textId="77777777" w:rsidR="00F915F1" w:rsidRPr="00957C69" w:rsidRDefault="00F915F1" w:rsidP="00F915F1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635610F3" w14:textId="77777777" w:rsidR="00F915F1" w:rsidRPr="00957C69" w:rsidRDefault="00F915F1" w:rsidP="00F915F1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77D5323C" w14:textId="77777777" w:rsidR="00F915F1" w:rsidRPr="00957C69" w:rsidRDefault="00F915F1" w:rsidP="00F915F1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48F52095" w14:textId="77777777" w:rsidR="00F915F1" w:rsidRDefault="00F915F1" w:rsidP="00F915F1">
      <w:pPr>
        <w:spacing w:after="0" w:line="240" w:lineRule="auto"/>
        <w:jc w:val="center"/>
        <w:rPr>
          <w:b/>
          <w:sz w:val="24"/>
          <w:szCs w:val="24"/>
        </w:rPr>
      </w:pPr>
    </w:p>
    <w:p w14:paraId="7EEFC679" w14:textId="77777777" w:rsidR="00F915F1" w:rsidRDefault="00F915F1" w:rsidP="00F915F1">
      <w:pPr>
        <w:spacing w:after="0" w:line="240" w:lineRule="auto"/>
        <w:jc w:val="center"/>
        <w:rPr>
          <w:b/>
          <w:sz w:val="24"/>
          <w:szCs w:val="24"/>
        </w:rPr>
      </w:pPr>
    </w:p>
    <w:p w14:paraId="4F9E01B3" w14:textId="77777777" w:rsidR="00F915F1" w:rsidRDefault="00F915F1" w:rsidP="00F915F1">
      <w:pPr>
        <w:spacing w:after="0" w:line="240" w:lineRule="auto"/>
        <w:jc w:val="center"/>
        <w:rPr>
          <w:b/>
          <w:sz w:val="24"/>
          <w:szCs w:val="24"/>
        </w:rPr>
      </w:pPr>
    </w:p>
    <w:p w14:paraId="7BB3FFAC" w14:textId="77777777" w:rsidR="00F915F1" w:rsidRDefault="00F915F1" w:rsidP="00F915F1">
      <w:pPr>
        <w:spacing w:after="0" w:line="240" w:lineRule="auto"/>
        <w:jc w:val="center"/>
        <w:rPr>
          <w:b/>
          <w:sz w:val="24"/>
          <w:szCs w:val="24"/>
        </w:rPr>
      </w:pPr>
    </w:p>
    <w:p w14:paraId="43646CE9" w14:textId="77777777" w:rsidR="00F915F1" w:rsidRDefault="00F915F1" w:rsidP="00F915F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EB2F132" w14:textId="77777777" w:rsidR="00F915F1" w:rsidRPr="00705F6F" w:rsidRDefault="00F915F1" w:rsidP="00F915F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31DC011A" w14:textId="77777777" w:rsidR="00F915F1" w:rsidRPr="00705F6F" w:rsidRDefault="00F915F1" w:rsidP="00F915F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02318B0" w14:textId="77777777" w:rsidR="00F915F1" w:rsidRDefault="00F915F1" w:rsidP="00F915F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3D76F466" w14:textId="77777777" w:rsidR="00F915F1" w:rsidRDefault="00F915F1" w:rsidP="00F915F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04D76396" wp14:editId="56143514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641735629" name="Imagen 1641735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C1F76" w14:textId="77777777" w:rsidR="00F915F1" w:rsidRDefault="00F915F1"/>
    <w:p w14:paraId="26836F22" w14:textId="77777777" w:rsidR="00F915F1" w:rsidRDefault="00F915F1"/>
    <w:p w14:paraId="312BC02A" w14:textId="77777777" w:rsidR="00F915F1" w:rsidRDefault="00F915F1"/>
    <w:p w14:paraId="205B80D0" w14:textId="77777777" w:rsidR="00F915F1" w:rsidRDefault="00F915F1"/>
    <w:p w14:paraId="72309726" w14:textId="77777777" w:rsidR="00F915F1" w:rsidRDefault="00F915F1"/>
    <w:p w14:paraId="642B0268" w14:textId="77777777" w:rsidR="00F915F1" w:rsidRDefault="00F915F1"/>
    <w:p w14:paraId="15FCF337" w14:textId="77777777" w:rsidR="00F915F1" w:rsidRDefault="00F915F1"/>
    <w:p w14:paraId="5E310A49" w14:textId="77777777" w:rsidR="00F915F1" w:rsidRDefault="00F915F1"/>
    <w:p w14:paraId="1C1EDA42" w14:textId="77777777" w:rsidR="00F915F1" w:rsidRDefault="00F915F1"/>
    <w:p w14:paraId="6EF914A2" w14:textId="77777777" w:rsidR="00F915F1" w:rsidRDefault="00F915F1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5E17C2E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933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</w:t>
            </w:r>
            <w:r w:rsidR="009850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8 de septiembre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214B5D5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9456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9456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4567C" w:rsidRPr="009456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209</w:t>
            </w:r>
            <w:r w:rsidR="007C6A13" w:rsidRPr="0094567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6A31D1EF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DBE809D" w:rsidR="007C6A13" w:rsidRPr="0094567C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</w:t>
            </w:r>
            <w:r w:rsidR="0094567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</w:t>
            </w:r>
            <w:r w:rsidR="00812235" w:rsidRPr="0094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AUTOMOTRIZ SERVITECLA S.A DE C.V</w:t>
            </w:r>
            <w:r w:rsidRPr="00945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77100207" w:rsidR="007C6A13" w:rsidRPr="004C13AC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8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793"/>
        <w:gridCol w:w="5692"/>
        <w:gridCol w:w="1355"/>
        <w:gridCol w:w="2146"/>
      </w:tblGrid>
      <w:tr w:rsidR="00BB3121" w:rsidRPr="007C6A13" w14:paraId="140B1145" w14:textId="77777777" w:rsidTr="00BB3121">
        <w:trPr>
          <w:trHeight w:val="220"/>
        </w:trPr>
        <w:tc>
          <w:tcPr>
            <w:tcW w:w="37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B3121">
        <w:trPr>
          <w:trHeight w:val="220"/>
        </w:trPr>
        <w:tc>
          <w:tcPr>
            <w:tcW w:w="37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3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B3121">
        <w:trPr>
          <w:trHeight w:val="203"/>
        </w:trPr>
        <w:tc>
          <w:tcPr>
            <w:tcW w:w="3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7B960196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9850D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—</w:t>
            </w:r>
            <w:r w:rsidR="0081223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TRANSPORTE</w:t>
            </w:r>
            <w:r w:rsidR="009850D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2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 PROPIOS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9850D2" w:rsidRPr="007C6A13" w14:paraId="41856CD4" w14:textId="77777777" w:rsidTr="00C924C5">
        <w:trPr>
          <w:trHeight w:val="425"/>
        </w:trPr>
        <w:tc>
          <w:tcPr>
            <w:tcW w:w="3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4C967800" w:rsidR="009850D2" w:rsidRPr="00553F8D" w:rsidRDefault="009850D2" w:rsidP="00985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2BA26D32" w:rsidR="009850D2" w:rsidRPr="00553F8D" w:rsidRDefault="009850D2" w:rsidP="00985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114B57BE" w:rsidR="009850D2" w:rsidRPr="003A49C1" w:rsidRDefault="009850D2" w:rsidP="009850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9850D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R/1  CODIGO: 81201015 ESPECIFICO:54302 SOLICITA: para vehículo ambulancia TOYOTA HIACE N-8756 se realice cambio aceite para motor 15w40 full sintético, filtro de aceite para motor, filtro para </w:t>
            </w:r>
            <w:proofErr w:type="spellStart"/>
            <w:r w:rsidRPr="009850D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diesel</w:t>
            </w:r>
            <w:proofErr w:type="spellEnd"/>
            <w:r w:rsidRPr="009850D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elemento, pastillas de freno delanteras de asbesto, pulido de discos de freno delantero, revisión y mantenimiento de frenos </w:t>
            </w:r>
            <w:proofErr w:type="spellStart"/>
            <w:r w:rsidRPr="009850D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traceros</w:t>
            </w:r>
            <w:proofErr w:type="spellEnd"/>
            <w:r w:rsidRPr="009850D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Pr="009850D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revición</w:t>
            </w:r>
            <w:proofErr w:type="spellEnd"/>
            <w:r w:rsidRPr="009850D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, lubricación de frenos delanteros, filtro de </w:t>
            </w:r>
            <w:proofErr w:type="spellStart"/>
            <w:r w:rsidRPr="009850D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particulas</w:t>
            </w:r>
            <w:proofErr w:type="spellEnd"/>
            <w:r w:rsidRPr="009850D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de a/c de cabina, filtro de aire de motor, 1/4 de aceite hidráulico </w:t>
            </w:r>
            <w:proofErr w:type="spellStart"/>
            <w:r w:rsidRPr="009850D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power</w:t>
            </w:r>
            <w:proofErr w:type="spellEnd"/>
            <w:r w:rsidRPr="009850D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9850D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stiring</w:t>
            </w:r>
            <w:proofErr w:type="spellEnd"/>
            <w:r w:rsidRPr="009850D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, limpieza de turbo cargador para eliminar carbón de ductos de escape, engrase general de suspensión.</w:t>
            </w:r>
            <w:r w:rsidR="0094567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  <w:r w:rsidRPr="009850D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OFRECE: MANTENIMIENTO PREVENTIVO Y CORRECTIVO PARA VEHICULO AMBULANCIA TOYOTA HIACE PLACA N-8756. VER MAS DETALLES </w:t>
            </w:r>
            <w:proofErr w:type="gramStart"/>
            <w:r w:rsidRPr="009850D2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EN  OFERTA</w:t>
            </w:r>
            <w:proofErr w:type="gramEnd"/>
            <w:r w:rsidR="0094567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6F298C91" w14:textId="77777777" w:rsidR="009850D2" w:rsidRDefault="009850D2" w:rsidP="009850D2">
            <w:pPr>
              <w:spacing w:after="0" w:line="240" w:lineRule="auto"/>
              <w:jc w:val="center"/>
            </w:pPr>
          </w:p>
          <w:p w14:paraId="02FC0E9A" w14:textId="77777777" w:rsidR="009850D2" w:rsidRDefault="009850D2" w:rsidP="009850D2">
            <w:pPr>
              <w:spacing w:after="0" w:line="240" w:lineRule="auto"/>
              <w:jc w:val="center"/>
            </w:pPr>
          </w:p>
          <w:p w14:paraId="243A0890" w14:textId="77777777" w:rsidR="009850D2" w:rsidRDefault="009850D2" w:rsidP="009850D2">
            <w:pPr>
              <w:spacing w:after="0" w:line="240" w:lineRule="auto"/>
              <w:jc w:val="center"/>
            </w:pPr>
          </w:p>
          <w:p w14:paraId="4EE626F3" w14:textId="77777777" w:rsidR="009850D2" w:rsidRDefault="009850D2" w:rsidP="009850D2">
            <w:pPr>
              <w:spacing w:after="0" w:line="240" w:lineRule="auto"/>
              <w:jc w:val="center"/>
            </w:pPr>
          </w:p>
          <w:p w14:paraId="052C7F6A" w14:textId="77777777" w:rsidR="009850D2" w:rsidRDefault="009850D2" w:rsidP="009850D2">
            <w:pPr>
              <w:spacing w:after="0" w:line="240" w:lineRule="auto"/>
              <w:jc w:val="center"/>
            </w:pPr>
          </w:p>
          <w:p w14:paraId="3473814D" w14:textId="6E7121D9" w:rsidR="009850D2" w:rsidRPr="00553F8D" w:rsidRDefault="009850D2" w:rsidP="00985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48691E">
              <w:t>$ 824.80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5FDDD0C4" w14:textId="77777777" w:rsidR="009850D2" w:rsidRDefault="009850D2" w:rsidP="009850D2">
            <w:pPr>
              <w:spacing w:after="0" w:line="240" w:lineRule="auto"/>
            </w:pPr>
          </w:p>
          <w:p w14:paraId="779EA521" w14:textId="77777777" w:rsidR="009850D2" w:rsidRDefault="009850D2" w:rsidP="009850D2">
            <w:pPr>
              <w:spacing w:after="0" w:line="240" w:lineRule="auto"/>
            </w:pPr>
          </w:p>
          <w:p w14:paraId="3DA9C5CB" w14:textId="77777777" w:rsidR="009850D2" w:rsidRDefault="009850D2" w:rsidP="009850D2">
            <w:pPr>
              <w:spacing w:after="0" w:line="240" w:lineRule="auto"/>
            </w:pPr>
          </w:p>
          <w:p w14:paraId="2274230E" w14:textId="77777777" w:rsidR="009850D2" w:rsidRDefault="009850D2" w:rsidP="009850D2">
            <w:pPr>
              <w:spacing w:after="0" w:line="240" w:lineRule="auto"/>
            </w:pPr>
          </w:p>
          <w:p w14:paraId="0A46D7B0" w14:textId="77777777" w:rsidR="009850D2" w:rsidRDefault="009850D2" w:rsidP="009850D2">
            <w:pPr>
              <w:spacing w:after="0" w:line="240" w:lineRule="auto"/>
            </w:pPr>
          </w:p>
          <w:p w14:paraId="4E34253D" w14:textId="47542E4C" w:rsidR="009850D2" w:rsidRPr="00553F8D" w:rsidRDefault="009850D2" w:rsidP="009850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t xml:space="preserve">            </w:t>
            </w:r>
            <w:r w:rsidRPr="0048691E">
              <w:t>$ 824.80</w:t>
            </w:r>
          </w:p>
        </w:tc>
      </w:tr>
      <w:bookmarkEnd w:id="4"/>
      <w:tr w:rsidR="00BB3121" w:rsidRPr="00FF5BFF" w14:paraId="35B6DA95" w14:textId="77777777" w:rsidTr="00BB3121">
        <w:trPr>
          <w:trHeight w:val="272"/>
        </w:trPr>
        <w:tc>
          <w:tcPr>
            <w:tcW w:w="37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7C6A13" w:rsidRPr="00553F8D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54B511D9" w:rsidR="007C6A13" w:rsidRPr="009850D2" w:rsidRDefault="009850D2" w:rsidP="00985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t xml:space="preserve">            </w:t>
            </w:r>
            <w:r w:rsidRPr="009850D2">
              <w:rPr>
                <w:b/>
                <w:bCs/>
                <w:sz w:val="28"/>
                <w:szCs w:val="28"/>
              </w:rPr>
              <w:t>$ 824.80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6BD55CD4" w14:textId="77777777" w:rsidTr="003A49C1">
        <w:trPr>
          <w:trHeight w:val="14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0EFBBED4" w:rsidR="007C6A13" w:rsidRPr="009850D2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SV"/>
              </w:rPr>
            </w:pPr>
            <w:r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SON:</w:t>
            </w:r>
            <w:r w:rsidR="00D44E84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4723C3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9850D2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Ochocientos </w:t>
            </w:r>
            <w:proofErr w:type="gramStart"/>
            <w:r w:rsidR="009850D2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veinticuatro</w:t>
            </w:r>
            <w:r w:rsidR="005412A8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024F1D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9850D2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8</w:t>
            </w:r>
            <w:r w:rsidR="00812235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</w:t>
            </w:r>
            <w:proofErr w:type="gramEnd"/>
            <w:r w:rsidR="009B13E4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/100 </w:t>
            </w:r>
            <w:r w:rsidR="00C07358" w:rsidRPr="009850D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B141D5">
        <w:trPr>
          <w:trHeight w:val="26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0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4"/>
            </w:tblGrid>
            <w:tr w:rsidR="007C6A13" w:rsidRPr="007C6A13" w14:paraId="6F87425E" w14:textId="77777777" w:rsidTr="00B141D5">
              <w:trPr>
                <w:trHeight w:val="294"/>
                <w:tblCellSpacing w:w="0" w:type="dxa"/>
              </w:trPr>
              <w:tc>
                <w:tcPr>
                  <w:tcW w:w="10504" w:type="dxa"/>
                  <w:vAlign w:val="center"/>
                  <w:hideMark/>
                </w:tcPr>
                <w:p w14:paraId="735719D7" w14:textId="512592FA" w:rsidR="007C6A13" w:rsidRPr="00016F42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  <w:r w:rsidRPr="00016F42">
                    <w:rPr>
                      <w:rFonts w:ascii="Arial" w:eastAsia="Times New Roman" w:hAnsi="Arial" w:cs="Arial"/>
                      <w:color w:val="auto"/>
                      <w:sz w:val="15"/>
                      <w:szCs w:val="15"/>
                      <w:lang w:eastAsia="es-SV"/>
                    </w:rPr>
                    <w:t xml:space="preserve">, </w:t>
                  </w: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3A49C1">
        <w:trPr>
          <w:trHeight w:val="46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4D2E6FC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TIEMPO DE ENTREGA </w:t>
            </w:r>
            <w:r w:rsidR="00D44E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 </w:t>
            </w:r>
            <w:r w:rsidR="00045F0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  <w:r w:rsidR="0079084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DIAS HABILES</w:t>
            </w:r>
            <w:r w:rsidR="00BB54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DESPUES DE RECIBIR ORDEN DE COMPRA</w:t>
            </w:r>
            <w:r w:rsidR="006004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B141D5">
        <w:trPr>
          <w:trHeight w:val="44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5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54"/>
            </w:tblGrid>
            <w:tr w:rsidR="007C6A13" w:rsidRPr="007C6A13" w14:paraId="0FB535EB" w14:textId="77777777" w:rsidTr="00B141D5">
              <w:trPr>
                <w:trHeight w:val="246"/>
                <w:tblCellSpacing w:w="0" w:type="dxa"/>
              </w:trPr>
              <w:tc>
                <w:tcPr>
                  <w:tcW w:w="10554" w:type="dxa"/>
                  <w:vAlign w:val="center"/>
                  <w:hideMark/>
                </w:tcPr>
                <w:p w14:paraId="03EF55A4" w14:textId="5C64106F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F0293" w14:textId="77777777" w:rsidR="00FF5BFF" w:rsidRDefault="00FF5BFF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33F37FD0" w14:textId="5483F22F" w:rsidR="009850D2" w:rsidRDefault="005F3FE0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D43C5E" wp14:editId="14291BED">
                  <wp:simplePos x="0" y="0"/>
                  <wp:positionH relativeFrom="margin">
                    <wp:posOffset>1842135</wp:posOffset>
                  </wp:positionH>
                  <wp:positionV relativeFrom="margin">
                    <wp:posOffset>273050</wp:posOffset>
                  </wp:positionV>
                  <wp:extent cx="1863725" cy="1146810"/>
                  <wp:effectExtent l="0" t="0" r="3175" b="0"/>
                  <wp:wrapSquare wrapText="bothSides"/>
                  <wp:docPr id="1709801113" name="Imagen 1709801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725" cy="1146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87808E" w14:textId="65DA1959" w:rsidR="009850D2" w:rsidRDefault="009850D2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25B72AFF" w14:textId="695A9E9E" w:rsidR="009850D2" w:rsidRDefault="009850D2" w:rsidP="007C6A13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</w:p>
          <w:p w14:paraId="3BE2C116" w14:textId="2FE74070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1E92FB9D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E05A84A" w14:textId="77777777" w:rsidR="00FF5BFF" w:rsidRDefault="00FF5BFF" w:rsidP="00622467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4462FE2" w14:textId="77777777" w:rsidR="00BB3121" w:rsidRDefault="00BB3121" w:rsidP="009850D2">
      <w:pPr>
        <w:pStyle w:val="Textodenotaalfinal"/>
        <w:widowControl/>
        <w:rPr>
          <w:rFonts w:ascii="Arial" w:hAnsi="Arial" w:cs="Arial"/>
          <w:b/>
          <w:sz w:val="20"/>
          <w:u w:val="single"/>
          <w:lang w:val="es-SV"/>
        </w:rPr>
      </w:pPr>
      <w:bookmarkStart w:id="5" w:name="_Hlk103237560"/>
      <w:bookmarkStart w:id="6" w:name="_Hlk82179272"/>
    </w:p>
    <w:bookmarkEnd w:id="5"/>
    <w:bookmarkEnd w:id="6"/>
    <w:p w14:paraId="49464827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C7A7D8F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8B83CEA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54596D26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3CC64E2A" w14:textId="77777777" w:rsidR="00B141D5" w:rsidRDefault="00B141D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1905E8AE" w14:textId="00ED47B1" w:rsidR="00B141D5" w:rsidRDefault="00B141D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284AEF23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  <w:r w:rsidRPr="002E289A">
        <w:rPr>
          <w:rFonts w:ascii="Arial" w:hAnsi="Arial" w:cs="Arial"/>
          <w:b/>
          <w:sz w:val="20"/>
          <w:u w:val="single"/>
          <w:lang w:val="es-SV"/>
        </w:rPr>
        <w:t>CONDICIONES DEL SERVICIO</w:t>
      </w:r>
      <w:r>
        <w:rPr>
          <w:rFonts w:ascii="Arial" w:hAnsi="Arial" w:cs="Arial"/>
          <w:b/>
          <w:sz w:val="20"/>
          <w:u w:val="single"/>
          <w:lang w:val="es-SV"/>
        </w:rPr>
        <w:t xml:space="preserve"> </w:t>
      </w:r>
    </w:p>
    <w:p w14:paraId="5DC4EBED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669BD79C" w14:textId="77777777" w:rsidR="00045F05" w:rsidRPr="002842E5" w:rsidRDefault="00045F05" w:rsidP="00045F0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3AB66D3" w14:textId="77777777" w:rsidR="00045F05" w:rsidRPr="002842E5" w:rsidRDefault="00045F05" w:rsidP="00045F0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1945663" w14:textId="77777777" w:rsidR="00045F05" w:rsidRPr="002842E5" w:rsidRDefault="00045F05" w:rsidP="00045F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2C2F47A" w14:textId="77777777" w:rsidR="00045F05" w:rsidRPr="002842E5" w:rsidRDefault="00045F05" w:rsidP="00045F05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C299DFF" w14:textId="77777777" w:rsidR="00045F05" w:rsidRPr="002842E5" w:rsidRDefault="00045F05" w:rsidP="00045F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39F29E3" w14:textId="77777777" w:rsidR="00045F05" w:rsidRPr="002842E5" w:rsidRDefault="00045F05" w:rsidP="00045F0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C16B2AB" w14:textId="77777777" w:rsidR="00045F05" w:rsidRDefault="00045F05" w:rsidP="00045F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DD135B8" w14:textId="77777777" w:rsidR="00045F05" w:rsidRDefault="00045F05" w:rsidP="00045F0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8C35F9D" w14:textId="07C023B5" w:rsidR="00045F05" w:rsidRPr="00045F05" w:rsidRDefault="00045F05" w:rsidP="00045F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A5773A">
        <w:rPr>
          <w:rFonts w:ascii="Calibri" w:hAnsi="Calibri" w:cs="Calibri"/>
          <w:sz w:val="18"/>
          <w:szCs w:val="18"/>
        </w:rPr>
        <w:t xml:space="preserve">Al recibir la orden de compra favor comunicarse </w:t>
      </w:r>
      <w:r>
        <w:rPr>
          <w:rFonts w:asciiTheme="minorHAnsi" w:hAnsiTheme="minorHAnsi" w:cs="Arial"/>
          <w:b/>
          <w:sz w:val="18"/>
          <w:szCs w:val="18"/>
          <w:lang w:val="es-SV"/>
        </w:rPr>
        <w:t xml:space="preserve">al departamento del Transporte del hospital </w:t>
      </w:r>
      <w:r w:rsidRPr="005768CE">
        <w:rPr>
          <w:rFonts w:asciiTheme="minorHAnsi" w:hAnsiTheme="minorHAnsi" w:cstheme="minorHAnsi"/>
          <w:bCs/>
          <w:sz w:val="18"/>
          <w:szCs w:val="18"/>
        </w:rPr>
        <w:t>Con el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D602CA">
        <w:rPr>
          <w:rFonts w:asciiTheme="minorHAnsi" w:hAnsiTheme="minorHAnsi" w:cstheme="minorHAnsi"/>
          <w:b/>
          <w:sz w:val="18"/>
          <w:szCs w:val="18"/>
        </w:rPr>
        <w:t>S</w:t>
      </w:r>
      <w:r>
        <w:rPr>
          <w:rFonts w:asciiTheme="minorHAnsi" w:hAnsiTheme="minorHAnsi" w:cstheme="minorHAnsi"/>
          <w:b/>
          <w:sz w:val="18"/>
          <w:szCs w:val="18"/>
        </w:rPr>
        <w:t>r</w:t>
      </w:r>
      <w:r w:rsidRPr="00D602CA">
        <w:rPr>
          <w:rFonts w:asciiTheme="minorHAnsi" w:hAnsiTheme="minorHAnsi" w:cstheme="minorHAnsi"/>
          <w:b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sz w:val="18"/>
          <w:szCs w:val="18"/>
        </w:rPr>
        <w:t xml:space="preserve">JUAN JOSE BONILLA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DIAZ</w:t>
      </w:r>
      <w:r w:rsidRPr="00D602CA">
        <w:rPr>
          <w:rFonts w:asciiTheme="minorHAnsi" w:hAnsiTheme="minorHAnsi" w:cstheme="minorHAnsi"/>
          <w:b/>
          <w:sz w:val="18"/>
          <w:szCs w:val="18"/>
        </w:rPr>
        <w:t xml:space="preserve"> .</w:t>
      </w:r>
      <w:proofErr w:type="gramEnd"/>
      <w:r w:rsidRPr="00D602CA">
        <w:rPr>
          <w:rFonts w:asciiTheme="minorHAnsi" w:hAnsiTheme="minorHAnsi" w:cstheme="minorHAnsi"/>
          <w:b/>
          <w:sz w:val="18"/>
          <w:szCs w:val="18"/>
        </w:rPr>
        <w:t>: 2891- 6595</w:t>
      </w:r>
      <w:r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045F05">
        <w:rPr>
          <w:rFonts w:ascii="Calibri" w:hAnsi="Calibri" w:cs="Calibri"/>
          <w:b/>
          <w:sz w:val="18"/>
          <w:szCs w:val="18"/>
        </w:rPr>
        <w:t xml:space="preserve"> para programar la entrega en el plazo establecido en la orden de compra, elaborar factura según detalle en la orden de compra.</w:t>
      </w:r>
    </w:p>
    <w:p w14:paraId="4A37C6BA" w14:textId="77777777" w:rsidR="00045F05" w:rsidRPr="00A5773A" w:rsidRDefault="00045F05" w:rsidP="00045F05">
      <w:pPr>
        <w:pStyle w:val="Textodenotaalfinal"/>
        <w:widowControl/>
        <w:ind w:left="360"/>
        <w:jc w:val="both"/>
        <w:rPr>
          <w:rFonts w:ascii="Calibri" w:hAnsi="Calibri" w:cs="Calibri"/>
          <w:sz w:val="18"/>
          <w:szCs w:val="18"/>
        </w:rPr>
      </w:pPr>
    </w:p>
    <w:p w14:paraId="58CFAC5A" w14:textId="77777777" w:rsidR="00045F05" w:rsidRPr="002842E5" w:rsidRDefault="00045F05" w:rsidP="00045F0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213F048" w14:textId="77777777" w:rsidR="00045F05" w:rsidRDefault="00045F05" w:rsidP="00045F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F5D019" w14:textId="77777777" w:rsidR="00045F05" w:rsidRPr="002842E5" w:rsidRDefault="00045F05" w:rsidP="00045F05">
      <w:pPr>
        <w:rPr>
          <w:rFonts w:cstheme="minorHAnsi"/>
          <w:sz w:val="18"/>
          <w:szCs w:val="18"/>
        </w:rPr>
      </w:pPr>
    </w:p>
    <w:p w14:paraId="31464D0A" w14:textId="13A45A40" w:rsidR="00045F05" w:rsidRPr="00045F05" w:rsidRDefault="00045F05" w:rsidP="00045F0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 </w:t>
      </w:r>
      <w:r w:rsidRPr="00D602CA">
        <w:rPr>
          <w:rFonts w:asciiTheme="minorHAnsi" w:hAnsiTheme="minorHAnsi" w:cstheme="minorHAnsi"/>
          <w:b/>
          <w:sz w:val="18"/>
          <w:szCs w:val="18"/>
        </w:rPr>
        <w:t xml:space="preserve">SR. </w:t>
      </w:r>
      <w:r>
        <w:rPr>
          <w:rFonts w:asciiTheme="minorHAnsi" w:hAnsiTheme="minorHAnsi" w:cstheme="minorHAnsi"/>
          <w:b/>
          <w:sz w:val="18"/>
          <w:szCs w:val="18"/>
        </w:rPr>
        <w:t xml:space="preserve">JUAN JOSE BONILLA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DIAZ</w:t>
      </w:r>
      <w:r w:rsidRPr="00D602CA">
        <w:rPr>
          <w:rFonts w:asciiTheme="minorHAnsi" w:hAnsiTheme="minorHAnsi" w:cstheme="minorHAnsi"/>
          <w:b/>
          <w:sz w:val="18"/>
          <w:szCs w:val="18"/>
        </w:rPr>
        <w:t xml:space="preserve"> .</w:t>
      </w:r>
      <w:proofErr w:type="gramEnd"/>
      <w:r w:rsidRPr="00D602CA">
        <w:rPr>
          <w:rFonts w:asciiTheme="minorHAnsi" w:hAnsiTheme="minorHAnsi" w:cstheme="minorHAnsi"/>
          <w:b/>
          <w:sz w:val="18"/>
          <w:szCs w:val="18"/>
        </w:rPr>
        <w:t>: 2891- 6595</w:t>
      </w:r>
      <w:r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045F0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45F0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161 y 162 de La Ley de Compras Públicas </w:t>
      </w:r>
    </w:p>
    <w:p w14:paraId="71063BB1" w14:textId="77777777" w:rsidR="00045F05" w:rsidRPr="00553F8D" w:rsidRDefault="00045F05" w:rsidP="00045F0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172CE4F2" w14:textId="321947DA" w:rsidR="00045F05" w:rsidRPr="002842E5" w:rsidRDefault="00045F05" w:rsidP="00045F0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94567C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057E444" w14:textId="77777777" w:rsidR="00045F05" w:rsidRPr="002842E5" w:rsidRDefault="00045F05" w:rsidP="00045F05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6DCE211" w14:textId="77777777" w:rsidR="00045F05" w:rsidRPr="002842E5" w:rsidRDefault="00045F05" w:rsidP="00045F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2D96617" w14:textId="77777777" w:rsidR="00045F05" w:rsidRPr="002842E5" w:rsidRDefault="00045F05" w:rsidP="00045F05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92E57DE" w14:textId="77777777" w:rsidR="00045F05" w:rsidRPr="002842E5" w:rsidRDefault="00045F05" w:rsidP="00045F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01EDE5D9" w14:textId="77777777" w:rsidR="00045F05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1E977599" w14:textId="77777777" w:rsidR="00045F05" w:rsidRPr="002E289A" w:rsidRDefault="00045F05" w:rsidP="00045F05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427C2CFA" w14:textId="77777777" w:rsidR="00024F1D" w:rsidRPr="003A49C1" w:rsidRDefault="00024F1D" w:rsidP="00024F1D">
      <w:pPr>
        <w:rPr>
          <w:sz w:val="20"/>
          <w:szCs w:val="20"/>
        </w:rPr>
      </w:pPr>
    </w:p>
    <w:sectPr w:rsidR="00024F1D" w:rsidRPr="003A49C1" w:rsidSect="003A49C1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A36CD"/>
    <w:rsid w:val="000F24E3"/>
    <w:rsid w:val="00186A3F"/>
    <w:rsid w:val="001B6B5F"/>
    <w:rsid w:val="001C026F"/>
    <w:rsid w:val="001E4574"/>
    <w:rsid w:val="00291DA0"/>
    <w:rsid w:val="002A3D1C"/>
    <w:rsid w:val="00323BAC"/>
    <w:rsid w:val="003616DB"/>
    <w:rsid w:val="00391128"/>
    <w:rsid w:val="003A49C1"/>
    <w:rsid w:val="003B2464"/>
    <w:rsid w:val="003E5DEC"/>
    <w:rsid w:val="003F3D96"/>
    <w:rsid w:val="00403DC9"/>
    <w:rsid w:val="004624E0"/>
    <w:rsid w:val="004723C3"/>
    <w:rsid w:val="004B4A71"/>
    <w:rsid w:val="004C13AC"/>
    <w:rsid w:val="005412A8"/>
    <w:rsid w:val="00553F8D"/>
    <w:rsid w:val="00591CC8"/>
    <w:rsid w:val="0059271E"/>
    <w:rsid w:val="005F3FE0"/>
    <w:rsid w:val="006004FA"/>
    <w:rsid w:val="00622467"/>
    <w:rsid w:val="00684DD6"/>
    <w:rsid w:val="006A791F"/>
    <w:rsid w:val="006C72DC"/>
    <w:rsid w:val="006D0645"/>
    <w:rsid w:val="00713D6B"/>
    <w:rsid w:val="0073504D"/>
    <w:rsid w:val="007726C2"/>
    <w:rsid w:val="0079084A"/>
    <w:rsid w:val="007A62A7"/>
    <w:rsid w:val="007C6A13"/>
    <w:rsid w:val="007E6BD7"/>
    <w:rsid w:val="007E6D83"/>
    <w:rsid w:val="00812235"/>
    <w:rsid w:val="00851B7E"/>
    <w:rsid w:val="008760B1"/>
    <w:rsid w:val="008B2D99"/>
    <w:rsid w:val="008C6810"/>
    <w:rsid w:val="00933861"/>
    <w:rsid w:val="0094567C"/>
    <w:rsid w:val="0094610F"/>
    <w:rsid w:val="0096046B"/>
    <w:rsid w:val="009850D2"/>
    <w:rsid w:val="009B13E4"/>
    <w:rsid w:val="00A37163"/>
    <w:rsid w:val="00A50DBC"/>
    <w:rsid w:val="00A72AEE"/>
    <w:rsid w:val="00AB5FD1"/>
    <w:rsid w:val="00B141D5"/>
    <w:rsid w:val="00BB3121"/>
    <w:rsid w:val="00BB5421"/>
    <w:rsid w:val="00BB65AB"/>
    <w:rsid w:val="00BB6BBF"/>
    <w:rsid w:val="00BF262E"/>
    <w:rsid w:val="00BF48C5"/>
    <w:rsid w:val="00BF7BAD"/>
    <w:rsid w:val="00C07358"/>
    <w:rsid w:val="00C73E10"/>
    <w:rsid w:val="00C90A9E"/>
    <w:rsid w:val="00CF0CED"/>
    <w:rsid w:val="00D138AE"/>
    <w:rsid w:val="00D44E84"/>
    <w:rsid w:val="00D5370F"/>
    <w:rsid w:val="00D93E4C"/>
    <w:rsid w:val="00D958AA"/>
    <w:rsid w:val="00DE29DF"/>
    <w:rsid w:val="00DF1699"/>
    <w:rsid w:val="00E11859"/>
    <w:rsid w:val="00F7456E"/>
    <w:rsid w:val="00F82671"/>
    <w:rsid w:val="00F915F1"/>
    <w:rsid w:val="00FC2544"/>
    <w:rsid w:val="00FD27FB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918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2023-09-07T14:24:00Z</cp:lastPrinted>
  <dcterms:created xsi:type="dcterms:W3CDTF">2023-09-07T14:20:00Z</dcterms:created>
  <dcterms:modified xsi:type="dcterms:W3CDTF">2023-09-19T15:46:00Z</dcterms:modified>
</cp:coreProperties>
</file>